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6C" w:rsidRDefault="0017186C" w:rsidP="005D07B4">
      <w:pPr>
        <w:pStyle w:val="NormalWeb"/>
        <w:spacing w:before="12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УНІВЕРСИТЕТ «ЧЕРНІГІВСЬКИЙ КОЛЕГІУМ»</w:t>
      </w:r>
    </w:p>
    <w:p w:rsidR="0017186C" w:rsidRPr="0076240F" w:rsidRDefault="0017186C" w:rsidP="005D07B4">
      <w:pPr>
        <w:pStyle w:val="NormalWeb"/>
        <w:spacing w:before="12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Т. Г. ШЕВЧЕНКА</w:t>
      </w:r>
    </w:p>
    <w:p w:rsidR="0017186C" w:rsidRPr="00D35C2D" w:rsidRDefault="0017186C" w:rsidP="00D451A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17186C" w:rsidRPr="00D35C2D" w:rsidRDefault="0017186C" w:rsidP="00D451A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17186C" w:rsidRPr="00D35C2D" w:rsidRDefault="0017186C" w:rsidP="00D451A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17186C" w:rsidRPr="00D35C2D" w:rsidRDefault="0017186C" w:rsidP="00D451A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17186C" w:rsidRDefault="0017186C" w:rsidP="00D35C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7186C" w:rsidRDefault="0017186C" w:rsidP="00D35C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7186C" w:rsidRPr="00D35C2D" w:rsidRDefault="0017186C" w:rsidP="00D35C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7186C" w:rsidRPr="00D35C2D" w:rsidRDefault="0017186C" w:rsidP="00D35C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7186C" w:rsidRPr="00D35C2D" w:rsidRDefault="0017186C" w:rsidP="00D35C2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7186C" w:rsidRPr="00D35C2D" w:rsidRDefault="0017186C" w:rsidP="00D35C2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D35C2D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ПРОФІЛЬ ОСВІТНЬОЇ ПРОГРАМИ</w:t>
      </w:r>
    </w:p>
    <w:p w:rsidR="0017186C" w:rsidRPr="00264642" w:rsidRDefault="0017186C" w:rsidP="00D35C2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264642">
        <w:rPr>
          <w:rFonts w:ascii="Times New Roman" w:hAnsi="Times New Roman"/>
          <w:b/>
          <w:sz w:val="28"/>
          <w:szCs w:val="28"/>
          <w:lang w:val="uk-UA" w:eastAsia="ru-RU"/>
        </w:rPr>
        <w:t>ПЕДАГОГІКА ВИЩОЇ ШКОЛИ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  <w:r w:rsidRPr="00264642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</w:p>
    <w:p w:rsidR="0017186C" w:rsidRPr="00D35C2D" w:rsidRDefault="0017186C" w:rsidP="00D3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Pr="00D35C2D" w:rsidRDefault="0017186C" w:rsidP="00D3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5D07B4">
      <w:pPr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86C" w:rsidRPr="005D07B4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D07B4">
        <w:rPr>
          <w:rFonts w:ascii="Times New Roman" w:hAnsi="Times New Roman"/>
          <w:b/>
          <w:sz w:val="28"/>
          <w:szCs w:val="28"/>
          <w:lang w:val="uk-UA" w:eastAsia="ru-RU"/>
        </w:rPr>
        <w:t>Рівень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75776">
        <w:rPr>
          <w:rFonts w:ascii="Times New Roman" w:hAnsi="Times New Roman"/>
          <w:b/>
          <w:sz w:val="28"/>
          <w:szCs w:val="28"/>
          <w:lang w:val="uk-UA" w:eastAsia="ru-RU"/>
        </w:rPr>
        <w:t xml:space="preserve">вищої </w:t>
      </w:r>
      <w:r w:rsidRPr="005D07B4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 w:rsidRPr="005D07B4">
        <w:rPr>
          <w:rFonts w:ascii="Times New Roman" w:hAnsi="Times New Roman"/>
          <w:sz w:val="28"/>
          <w:szCs w:val="28"/>
          <w:lang w:val="uk-UA" w:eastAsia="ru-RU"/>
        </w:rPr>
        <w:t>: другий (магістерський)</w:t>
      </w:r>
    </w:p>
    <w:p w:rsidR="0017186C" w:rsidRPr="005D07B4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5D07B4">
        <w:rPr>
          <w:rFonts w:ascii="Times New Roman" w:hAnsi="Times New Roman"/>
          <w:b/>
          <w:sz w:val="28"/>
          <w:szCs w:val="28"/>
          <w:lang w:val="uk-UA" w:eastAsia="ru-RU"/>
        </w:rPr>
        <w:t>Галузь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D07B4">
        <w:rPr>
          <w:rFonts w:ascii="Times New Roman" w:hAnsi="Times New Roman"/>
          <w:b/>
          <w:sz w:val="28"/>
          <w:szCs w:val="28"/>
          <w:lang w:val="uk-UA" w:eastAsia="ru-RU"/>
        </w:rPr>
        <w:t>знань</w:t>
      </w:r>
      <w:r w:rsidRPr="005D07B4">
        <w:rPr>
          <w:rFonts w:ascii="Times New Roman" w:hAnsi="Times New Roman"/>
          <w:sz w:val="28"/>
          <w:szCs w:val="28"/>
          <w:lang w:val="uk-UA" w:eastAsia="ru-RU"/>
        </w:rPr>
        <w:t>: 01 Освіта/Педагогіка</w:t>
      </w:r>
    </w:p>
    <w:p w:rsidR="0017186C" w:rsidRPr="009F234A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5D07B4">
        <w:rPr>
          <w:rFonts w:ascii="Times New Roman" w:hAnsi="Times New Roman"/>
          <w:b/>
          <w:sz w:val="28"/>
          <w:szCs w:val="28"/>
          <w:lang w:val="uk-UA" w:eastAsia="ru-RU"/>
        </w:rPr>
        <w:t>Спеціальність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: </w:t>
      </w:r>
      <w:r w:rsidRPr="005D07B4">
        <w:rPr>
          <w:rFonts w:ascii="Times New Roman" w:hAnsi="Times New Roman"/>
          <w:sz w:val="28"/>
          <w:szCs w:val="28"/>
          <w:lang w:val="uk-UA"/>
        </w:rPr>
        <w:t>011Освітні, 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науки</w:t>
      </w:r>
    </w:p>
    <w:p w:rsidR="0017186C" w:rsidRPr="0080318E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80318E">
        <w:rPr>
          <w:rFonts w:ascii="Times New Roman" w:hAnsi="Times New Roman"/>
          <w:b/>
          <w:sz w:val="28"/>
          <w:szCs w:val="28"/>
          <w:lang w:val="uk-UA" w:eastAsia="ru-RU"/>
        </w:rPr>
        <w:t>Спеціалізація</w:t>
      </w:r>
      <w:r w:rsidRPr="0080318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ru-RU"/>
        </w:rPr>
        <w:t>Педагогіка вищої школи</w:t>
      </w: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E75776">
        <w:rPr>
          <w:rFonts w:ascii="Times New Roman" w:hAnsi="Times New Roman"/>
          <w:b/>
          <w:sz w:val="28"/>
          <w:szCs w:val="28"/>
          <w:lang w:val="uk-UA" w:eastAsia="ru-RU"/>
        </w:rPr>
        <w:t>Кваліфікація</w:t>
      </w:r>
      <w:r>
        <w:rPr>
          <w:rFonts w:ascii="Times New Roman" w:hAnsi="Times New Roman"/>
          <w:sz w:val="28"/>
          <w:szCs w:val="28"/>
          <w:lang w:val="uk-UA" w:eastAsia="ru-RU"/>
        </w:rPr>
        <w:t>: Викладач університетів та вищих навчальних закладів</w:t>
      </w: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5D07B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Default="0017186C" w:rsidP="008822CC">
      <w:pPr>
        <w:shd w:val="clear" w:color="auto" w:fill="FFFFFF"/>
        <w:ind w:left="142" w:firstLine="4536"/>
        <w:jc w:val="right"/>
        <w:rPr>
          <w:rFonts w:ascii="Times New Roman" w:hAnsi="Times New Roman"/>
          <w:b/>
          <w:spacing w:val="-9"/>
          <w:sz w:val="24"/>
          <w:szCs w:val="24"/>
          <w:lang w:val="uk-UA"/>
        </w:rPr>
      </w:pPr>
      <w:r>
        <w:rPr>
          <w:rFonts w:ascii="Times New Roman" w:hAnsi="Times New Roman"/>
          <w:b/>
          <w:spacing w:val="-9"/>
          <w:sz w:val="24"/>
          <w:szCs w:val="24"/>
          <w:lang w:val="uk-UA"/>
        </w:rPr>
        <w:t>ЗАТВЕРДЖЕНО  ВЧЕНОЮ  РАДОЮ</w:t>
      </w:r>
    </w:p>
    <w:p w:rsidR="0017186C" w:rsidRDefault="0017186C" w:rsidP="008822CC">
      <w:pPr>
        <w:shd w:val="clear" w:color="auto" w:fill="FFFFFF"/>
        <w:spacing w:line="480" w:lineRule="auto"/>
        <w:ind w:firstLine="4536"/>
        <w:jc w:val="right"/>
        <w:rPr>
          <w:rFonts w:ascii="Times New Roman" w:hAnsi="Times New Roman"/>
          <w:b/>
          <w:spacing w:val="-9"/>
          <w:sz w:val="24"/>
          <w:szCs w:val="24"/>
          <w:lang w:val="uk-UA"/>
        </w:rPr>
      </w:pPr>
      <w:r>
        <w:rPr>
          <w:rFonts w:ascii="Times New Roman" w:hAnsi="Times New Roman"/>
          <w:b/>
          <w:spacing w:val="-9"/>
          <w:sz w:val="24"/>
          <w:szCs w:val="24"/>
          <w:lang w:val="uk-UA"/>
        </w:rPr>
        <w:t>Голова вченої ради</w:t>
      </w:r>
    </w:p>
    <w:p w:rsidR="0017186C" w:rsidRDefault="0017186C" w:rsidP="008822CC">
      <w:pPr>
        <w:shd w:val="clear" w:color="auto" w:fill="FFFFFF"/>
        <w:spacing w:line="360" w:lineRule="auto"/>
        <w:ind w:firstLine="4536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____________________________  О. Б. Коваленко </w:t>
      </w:r>
    </w:p>
    <w:p w:rsidR="0017186C" w:rsidRDefault="0017186C" w:rsidP="008822CC">
      <w:pPr>
        <w:shd w:val="clear" w:color="auto" w:fill="FFFFFF"/>
        <w:spacing w:line="360" w:lineRule="auto"/>
        <w:ind w:firstLine="4536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spacing w:val="-9"/>
          <w:sz w:val="24"/>
          <w:szCs w:val="24"/>
          <w:lang w:val="uk-UA"/>
        </w:rPr>
        <w:t>(протокол № ___ від «___» ______2018 р.)</w:t>
      </w:r>
    </w:p>
    <w:p w:rsidR="0017186C" w:rsidRDefault="0017186C" w:rsidP="008822CC">
      <w:pPr>
        <w:shd w:val="clear" w:color="auto" w:fill="FFFFFF"/>
        <w:spacing w:line="360" w:lineRule="auto"/>
        <w:ind w:firstLine="4536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b/>
          <w:spacing w:val="-9"/>
          <w:sz w:val="24"/>
          <w:szCs w:val="24"/>
          <w:lang w:val="uk-UA"/>
        </w:rPr>
        <w:t>Освітня програма вводиться в дію</w:t>
      </w:r>
      <w:r>
        <w:rPr>
          <w:rFonts w:ascii="Times New Roman" w:hAnsi="Times New Roman"/>
          <w:spacing w:val="-9"/>
          <w:sz w:val="24"/>
          <w:szCs w:val="24"/>
          <w:lang w:val="uk-UA"/>
        </w:rPr>
        <w:t xml:space="preserve"> з ____2018 р.</w:t>
      </w:r>
    </w:p>
    <w:p w:rsidR="0017186C" w:rsidRDefault="0017186C" w:rsidP="008822CC">
      <w:pPr>
        <w:shd w:val="clear" w:color="auto" w:fill="FFFFFF"/>
        <w:spacing w:line="360" w:lineRule="auto"/>
        <w:ind w:firstLine="4536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b/>
          <w:spacing w:val="-9"/>
          <w:sz w:val="24"/>
          <w:szCs w:val="24"/>
          <w:lang w:val="uk-UA"/>
        </w:rPr>
        <w:t xml:space="preserve">Ректор </w:t>
      </w:r>
      <w:r>
        <w:rPr>
          <w:rFonts w:ascii="Times New Roman" w:hAnsi="Times New Roman"/>
          <w:spacing w:val="-9"/>
          <w:sz w:val="24"/>
          <w:szCs w:val="24"/>
          <w:lang w:val="uk-UA"/>
        </w:rPr>
        <w:t>____________________ М. О. Носко</w:t>
      </w:r>
    </w:p>
    <w:p w:rsidR="0017186C" w:rsidRDefault="0017186C" w:rsidP="008822CC">
      <w:pPr>
        <w:shd w:val="clear" w:color="auto" w:fill="FFFFFF"/>
        <w:spacing w:line="360" w:lineRule="auto"/>
        <w:ind w:firstLine="4536"/>
        <w:rPr>
          <w:rFonts w:ascii="Times New Roman" w:hAnsi="Times New Roman"/>
          <w:spacing w:val="-9"/>
          <w:sz w:val="24"/>
          <w:szCs w:val="24"/>
          <w:lang w:val="uk-UA"/>
        </w:rPr>
      </w:pPr>
      <w:r>
        <w:rPr>
          <w:rFonts w:ascii="Times New Roman" w:hAnsi="Times New Roman"/>
          <w:spacing w:val="-9"/>
          <w:sz w:val="24"/>
          <w:szCs w:val="24"/>
          <w:lang w:val="uk-UA"/>
        </w:rPr>
        <w:t>(наказ №__ від «____» _________ 2018 р.)</w:t>
      </w:r>
    </w:p>
    <w:p w:rsidR="0017186C" w:rsidRPr="00D35C2D" w:rsidRDefault="0017186C" w:rsidP="00D3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Pr="00D35C2D" w:rsidRDefault="0017186C" w:rsidP="00D3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Pr="005D07B4" w:rsidRDefault="0017186C" w:rsidP="005D07B4">
      <w:pPr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Чернігів</w:t>
      </w:r>
      <w:r w:rsidRPr="005D07B4">
        <w:rPr>
          <w:rFonts w:ascii="Times New Roman" w:hAnsi="Times New Roman"/>
          <w:sz w:val="28"/>
          <w:szCs w:val="24"/>
          <w:lang w:val="uk-UA" w:eastAsia="ru-RU"/>
        </w:rPr>
        <w:t xml:space="preserve"> 2018</w:t>
      </w:r>
    </w:p>
    <w:p w:rsidR="0017186C" w:rsidRPr="009055E8" w:rsidRDefault="0017186C" w:rsidP="005D07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5E8">
        <w:rPr>
          <w:rFonts w:ascii="Times New Roman" w:hAnsi="Times New Roman"/>
          <w:b/>
          <w:sz w:val="28"/>
          <w:szCs w:val="28"/>
          <w:lang w:val="uk-UA"/>
        </w:rPr>
        <w:t xml:space="preserve">ЛИСТ ПОГОДЖЕННЯ </w:t>
      </w:r>
    </w:p>
    <w:p w:rsidR="0017186C" w:rsidRPr="009055E8" w:rsidRDefault="0017186C" w:rsidP="005D07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5E8">
        <w:rPr>
          <w:rFonts w:ascii="Times New Roman" w:hAnsi="Times New Roman"/>
          <w:b/>
          <w:sz w:val="28"/>
          <w:szCs w:val="28"/>
          <w:lang w:val="uk-UA"/>
        </w:rPr>
        <w:t>ОСВІТНЬО-</w:t>
      </w:r>
      <w:r>
        <w:rPr>
          <w:rFonts w:ascii="Times New Roman" w:hAnsi="Times New Roman"/>
          <w:b/>
          <w:sz w:val="28"/>
          <w:szCs w:val="28"/>
          <w:lang w:val="uk-UA"/>
        </w:rPr>
        <w:t>ПРОФЕСІЙН</w:t>
      </w:r>
      <w:r w:rsidRPr="009055E8">
        <w:rPr>
          <w:rFonts w:ascii="Times New Roman" w:hAnsi="Times New Roman"/>
          <w:b/>
          <w:sz w:val="28"/>
          <w:szCs w:val="28"/>
          <w:lang w:val="uk-UA"/>
        </w:rPr>
        <w:t xml:space="preserve">ОЇ ПРОГРАМИ </w:t>
      </w:r>
    </w:p>
    <w:p w:rsidR="0017186C" w:rsidRPr="009055E8" w:rsidRDefault="0017186C" w:rsidP="005D07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5859"/>
      </w:tblGrid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Освітній ступінь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магістр</w:t>
            </w:r>
          </w:p>
        </w:tc>
      </w:tr>
      <w:tr w:rsidR="0017186C" w:rsidRPr="0069684D" w:rsidTr="005D07B4">
        <w:trPr>
          <w:trHeight w:val="346"/>
        </w:trPr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Галузь знань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01 Освіта/Педагогіка</w:t>
            </w:r>
          </w:p>
        </w:tc>
      </w:tr>
      <w:tr w:rsidR="0017186C" w:rsidRPr="0069684D" w:rsidTr="005D07B4">
        <w:trPr>
          <w:trHeight w:val="265"/>
        </w:trPr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</w:rPr>
              <w:t>011</w:t>
            </w: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9684D">
              <w:rPr>
                <w:rFonts w:ascii="Times New Roman" w:hAnsi="Times New Roman"/>
                <w:sz w:val="26"/>
                <w:szCs w:val="26"/>
              </w:rPr>
              <w:t>Освітні, педагогічні</w:t>
            </w: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69684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науки</w:t>
            </w:r>
          </w:p>
        </w:tc>
      </w:tr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Кваліфікація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викладач університетів та вищих навчальних закладів</w:t>
            </w:r>
          </w:p>
        </w:tc>
      </w:tr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Тип диплома та обсяг програми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«магістр» - 90 кредитів / 1 рік 6 місяців </w:t>
            </w:r>
          </w:p>
        </w:tc>
      </w:tr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Вищий навчальний заклад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Національний університет «Чернігівський колегіум» імені Т. Г. Шевченка</w:t>
            </w:r>
          </w:p>
        </w:tc>
      </w:tr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Рівень програми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другий (магістерський) рівень – 7 рівень НРК</w:t>
            </w:r>
          </w:p>
        </w:tc>
      </w:tr>
      <w:tr w:rsidR="0017186C" w:rsidRPr="0069684D" w:rsidTr="005D07B4">
        <w:tc>
          <w:tcPr>
            <w:tcW w:w="414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Вимоги до рівня освіти осіб, які можуть розпочати навчання</w:t>
            </w:r>
          </w:p>
        </w:tc>
        <w:tc>
          <w:tcPr>
            <w:tcW w:w="5859" w:type="dxa"/>
          </w:tcPr>
          <w:p w:rsidR="0017186C" w:rsidRPr="0069684D" w:rsidRDefault="0017186C" w:rsidP="005D07B4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Особа має право здобувати ступінь магістра за умови наявності ступеня бакалавра (освітньо-кваліфікаційного рівня «спеціаліст»).</w:t>
            </w:r>
          </w:p>
        </w:tc>
      </w:tr>
    </w:tbl>
    <w:p w:rsidR="0017186C" w:rsidRPr="0069684D" w:rsidRDefault="0017186C" w:rsidP="005D07B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387"/>
      </w:tblGrid>
      <w:tr w:rsidR="0017186C" w:rsidRPr="0069684D" w:rsidTr="009867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«РОЗРОБЛЕНО»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Проектна група 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Керівник проектної групи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_______________ </w:t>
            </w: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Г. М. Тимошко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«___» ____________2018 р.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«ПОГОДЖЕНО»</w:t>
            </w:r>
          </w:p>
          <w:p w:rsidR="0017186C" w:rsidRPr="0069684D" w:rsidRDefault="0017186C" w:rsidP="00C07F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Ректор Національного університету «Чернігівський колегіум»</w:t>
            </w:r>
          </w:p>
          <w:p w:rsidR="0017186C" w:rsidRPr="0069684D" w:rsidRDefault="0017186C" w:rsidP="00C07F9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імені Т. Г. Шевченка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______________ М. О. Носко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«___» ____________2018 р.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7186C" w:rsidRPr="0069684D" w:rsidTr="0069684D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«ПОГОДЖЕНО»</w:t>
            </w:r>
          </w:p>
          <w:p w:rsidR="0017186C" w:rsidRPr="0069684D" w:rsidRDefault="0017186C" w:rsidP="00E35E84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Директор Інституту історії, етнології та правознавства імені О.</w:t>
            </w:r>
            <w:r w:rsidRPr="0069684D">
              <w:rPr>
                <w:rFonts w:ascii="Times New Roman" w:hAnsi="Times New Roman"/>
                <w:sz w:val="26"/>
                <w:szCs w:val="26"/>
              </w:rPr>
              <w:t> </w:t>
            </w: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М.</w:t>
            </w:r>
            <w:r w:rsidRPr="0069684D">
              <w:rPr>
                <w:rFonts w:ascii="Times New Roman" w:hAnsi="Times New Roman"/>
                <w:sz w:val="26"/>
                <w:szCs w:val="26"/>
              </w:rPr>
              <w:t> </w:t>
            </w: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Лазаревського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_____________О. Б. Коваленко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«___» ____________2018 р.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«ПОГОДЖЕНО»</w:t>
            </w:r>
          </w:p>
          <w:p w:rsidR="0017186C" w:rsidRPr="0069684D" w:rsidRDefault="0017186C" w:rsidP="00441F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Завідувач кафедри </w:t>
            </w:r>
            <w:r w:rsidRPr="0069684D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педагогіки і методики викладання історії та суспільних дисциплін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>_____________А. М. Боровик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968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«___» ____________2018 р.</w:t>
            </w: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7186C" w:rsidRPr="0069684D" w:rsidRDefault="0017186C" w:rsidP="00E35E84">
            <w:pPr>
              <w:spacing w:line="240" w:lineRule="auto"/>
              <w:ind w:left="595"/>
              <w:contextualSpacing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7186C" w:rsidRDefault="0017186C" w:rsidP="003C3083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17186C" w:rsidRPr="00A73051" w:rsidRDefault="0017186C" w:rsidP="005D07B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17186C" w:rsidRPr="00045184" w:rsidRDefault="0017186C" w:rsidP="005D07B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Освітньо-професійна</w:t>
      </w:r>
      <w:r w:rsidRPr="00045184">
        <w:rPr>
          <w:rFonts w:ascii="Times New Roman" w:hAnsi="Times New Roman"/>
          <w:sz w:val="28"/>
          <w:szCs w:val="28"/>
          <w:lang w:val="uk-UA"/>
        </w:rPr>
        <w:t xml:space="preserve"> програма за спеціальністю </w:t>
      </w:r>
      <w:r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Освітні, педагогічні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науки </w:t>
      </w:r>
      <w:r w:rsidRPr="00045184">
        <w:rPr>
          <w:rFonts w:ascii="Times New Roman" w:hAnsi="Times New Roman"/>
          <w:sz w:val="28"/>
          <w:szCs w:val="28"/>
          <w:lang w:val="uk-UA"/>
        </w:rPr>
        <w:t xml:space="preserve">для підготовки магістра розроблена до введення в дію Стандарту вищої освіти за відповідним рівнем вищої освіти проектною групою </w:t>
      </w:r>
      <w:r w:rsidRPr="00441F86">
        <w:rPr>
          <w:rFonts w:ascii="Times New Roman" w:hAnsi="Times New Roman"/>
          <w:sz w:val="28"/>
          <w:szCs w:val="28"/>
          <w:lang w:val="uk-UA"/>
        </w:rPr>
        <w:t>Інституту історії, етнології та правознавства імені О.</w:t>
      </w:r>
      <w:r w:rsidRPr="00441F86">
        <w:rPr>
          <w:rFonts w:ascii="Times New Roman" w:hAnsi="Times New Roman"/>
          <w:sz w:val="28"/>
          <w:szCs w:val="28"/>
        </w:rPr>
        <w:t> </w:t>
      </w:r>
      <w:r w:rsidRPr="00441F86">
        <w:rPr>
          <w:rFonts w:ascii="Times New Roman" w:hAnsi="Times New Roman"/>
          <w:sz w:val="28"/>
          <w:szCs w:val="28"/>
          <w:lang w:val="uk-UA"/>
        </w:rPr>
        <w:t>М.</w:t>
      </w:r>
      <w:r w:rsidRPr="00441F86">
        <w:rPr>
          <w:rFonts w:ascii="Times New Roman" w:hAnsi="Times New Roman"/>
          <w:sz w:val="28"/>
          <w:szCs w:val="28"/>
        </w:rPr>
        <w:t> </w:t>
      </w:r>
      <w:r w:rsidRPr="00441F86">
        <w:rPr>
          <w:rFonts w:ascii="Times New Roman" w:hAnsi="Times New Roman"/>
          <w:sz w:val="28"/>
          <w:szCs w:val="28"/>
          <w:lang w:val="uk-UA"/>
        </w:rPr>
        <w:t>Лазаревського</w:t>
      </w:r>
      <w:r w:rsidRPr="000451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Національного університету «Чернігівський колегіум» </w:t>
      </w:r>
      <w:r w:rsidRPr="00045184">
        <w:rPr>
          <w:rFonts w:ascii="Times New Roman" w:hAnsi="Times New Roman"/>
          <w:sz w:val="28"/>
          <w:szCs w:val="28"/>
          <w:lang w:val="uk-UA"/>
        </w:rPr>
        <w:t xml:space="preserve">у складі: </w:t>
      </w:r>
    </w:p>
    <w:p w:rsidR="0017186C" w:rsidRPr="00285135" w:rsidRDefault="0017186C" w:rsidP="005D07B4">
      <w:pPr>
        <w:pStyle w:val="ListParagraph"/>
        <w:tabs>
          <w:tab w:val="left" w:pos="2160"/>
        </w:tabs>
        <w:ind w:left="0" w:firstLine="708"/>
        <w:jc w:val="both"/>
        <w:rPr>
          <w:b/>
          <w:i/>
          <w:sz w:val="28"/>
          <w:szCs w:val="28"/>
        </w:rPr>
      </w:pPr>
      <w:r w:rsidRPr="00285135">
        <w:rPr>
          <w:b/>
          <w:i/>
          <w:sz w:val="28"/>
          <w:szCs w:val="28"/>
        </w:rPr>
        <w:t>Керівник проектної групи:</w:t>
      </w:r>
    </w:p>
    <w:p w:rsidR="0017186C" w:rsidRPr="00A349C6" w:rsidRDefault="0017186C" w:rsidP="005D07B4">
      <w:pPr>
        <w:pStyle w:val="ListParagraph"/>
        <w:tabs>
          <w:tab w:val="left" w:pos="21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Тимошко Ганна Миколаївна </w:t>
      </w:r>
      <w:r w:rsidRPr="00A73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73051">
        <w:rPr>
          <w:sz w:val="28"/>
          <w:szCs w:val="28"/>
        </w:rPr>
        <w:t xml:space="preserve">гарант освітньої програми, </w:t>
      </w:r>
      <w:r>
        <w:rPr>
          <w:sz w:val="28"/>
          <w:szCs w:val="28"/>
        </w:rPr>
        <w:t>доктор</w:t>
      </w:r>
      <w:r w:rsidRPr="00DA7FD9">
        <w:rPr>
          <w:sz w:val="28"/>
          <w:szCs w:val="28"/>
        </w:rPr>
        <w:t xml:space="preserve"> педагогічних наук, </w:t>
      </w:r>
      <w:r>
        <w:rPr>
          <w:sz w:val="28"/>
          <w:szCs w:val="28"/>
        </w:rPr>
        <w:t xml:space="preserve">професор, професор </w:t>
      </w:r>
      <w:r w:rsidRPr="00DA7FD9">
        <w:rPr>
          <w:sz w:val="28"/>
          <w:szCs w:val="28"/>
        </w:rPr>
        <w:t xml:space="preserve">кафедри </w:t>
      </w:r>
      <w:r w:rsidRPr="00A349C6">
        <w:rPr>
          <w:bCs/>
          <w:iCs/>
          <w:sz w:val="28"/>
          <w:szCs w:val="28"/>
        </w:rPr>
        <w:t>педагогіки і методики викладання історії та суспільних дисциплін</w:t>
      </w:r>
      <w:r>
        <w:rPr>
          <w:bCs/>
          <w:iCs/>
          <w:sz w:val="28"/>
          <w:szCs w:val="28"/>
        </w:rPr>
        <w:t>.</w:t>
      </w:r>
    </w:p>
    <w:p w:rsidR="0017186C" w:rsidRPr="00285135" w:rsidRDefault="0017186C" w:rsidP="005D07B4">
      <w:pPr>
        <w:pStyle w:val="ListParagraph"/>
        <w:tabs>
          <w:tab w:val="left" w:pos="993"/>
        </w:tabs>
        <w:ind w:left="0" w:firstLine="708"/>
        <w:jc w:val="both"/>
        <w:rPr>
          <w:b/>
          <w:i/>
          <w:sz w:val="28"/>
          <w:szCs w:val="28"/>
        </w:rPr>
      </w:pPr>
      <w:r w:rsidRPr="00285135">
        <w:rPr>
          <w:b/>
          <w:i/>
          <w:sz w:val="28"/>
          <w:szCs w:val="28"/>
        </w:rPr>
        <w:t xml:space="preserve">Члени проектної групи: </w:t>
      </w:r>
    </w:p>
    <w:p w:rsidR="0017186C" w:rsidRDefault="0017186C" w:rsidP="005D07B4">
      <w:pPr>
        <w:pStyle w:val="ListParagraph"/>
        <w:tabs>
          <w:tab w:val="left" w:pos="21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Янченко Тамара Василівна, </w:t>
      </w:r>
      <w:r w:rsidRPr="00DA7FD9">
        <w:rPr>
          <w:sz w:val="28"/>
          <w:szCs w:val="28"/>
        </w:rPr>
        <w:t>доктор педагогічних наук,</w:t>
      </w:r>
      <w:r>
        <w:rPr>
          <w:sz w:val="28"/>
          <w:szCs w:val="28"/>
        </w:rPr>
        <w:t xml:space="preserve"> доцент, професор </w:t>
      </w:r>
      <w:r w:rsidRPr="00DA7FD9">
        <w:rPr>
          <w:sz w:val="28"/>
          <w:szCs w:val="28"/>
        </w:rPr>
        <w:t xml:space="preserve">кафедри </w:t>
      </w:r>
      <w:r w:rsidRPr="00A349C6">
        <w:rPr>
          <w:bCs/>
          <w:iCs/>
          <w:sz w:val="28"/>
          <w:szCs w:val="28"/>
        </w:rPr>
        <w:t>педагогіки і методики викладання історії та суспільних дисциплін</w:t>
      </w:r>
      <w:r>
        <w:rPr>
          <w:sz w:val="28"/>
          <w:szCs w:val="28"/>
        </w:rPr>
        <w:t>;</w:t>
      </w:r>
    </w:p>
    <w:p w:rsidR="0017186C" w:rsidRPr="00197CCA" w:rsidRDefault="0017186C" w:rsidP="005D07B4">
      <w:pPr>
        <w:pStyle w:val="ListParagraph"/>
        <w:tabs>
          <w:tab w:val="left" w:pos="216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Олена Василівна, кандидат </w:t>
      </w:r>
      <w:r w:rsidRPr="00DA7FD9">
        <w:rPr>
          <w:sz w:val="28"/>
          <w:szCs w:val="28"/>
        </w:rPr>
        <w:t xml:space="preserve">педагогічних наук, </w:t>
      </w:r>
      <w:r>
        <w:rPr>
          <w:sz w:val="28"/>
          <w:szCs w:val="28"/>
        </w:rPr>
        <w:t xml:space="preserve">доцент, доцент </w:t>
      </w:r>
      <w:r w:rsidRPr="00197CCA">
        <w:rPr>
          <w:bCs/>
          <w:sz w:val="28"/>
          <w:szCs w:val="28"/>
        </w:rPr>
        <w:t>кафедри</w:t>
      </w:r>
      <w:r w:rsidRPr="00197CCA">
        <w:rPr>
          <w:b/>
          <w:bCs/>
          <w:sz w:val="28"/>
          <w:szCs w:val="28"/>
        </w:rPr>
        <w:t xml:space="preserve"> </w:t>
      </w:r>
      <w:r w:rsidRPr="00197CCA">
        <w:rPr>
          <w:bCs/>
          <w:iCs/>
          <w:sz w:val="28"/>
          <w:szCs w:val="28"/>
        </w:rPr>
        <w:t>педагогіки і методики викладання історії та суспільних дисциплін</w:t>
      </w:r>
      <w:r w:rsidRPr="00197CCA">
        <w:rPr>
          <w:sz w:val="28"/>
          <w:szCs w:val="28"/>
        </w:rPr>
        <w:t>.</w:t>
      </w:r>
    </w:p>
    <w:p w:rsidR="0017186C" w:rsidRPr="00197CCA" w:rsidRDefault="0017186C" w:rsidP="005D07B4">
      <w:pPr>
        <w:pStyle w:val="ListParagraph"/>
        <w:tabs>
          <w:tab w:val="left" w:pos="2160"/>
        </w:tabs>
        <w:ind w:left="0" w:firstLine="708"/>
        <w:jc w:val="both"/>
        <w:rPr>
          <w:sz w:val="28"/>
          <w:szCs w:val="28"/>
        </w:rPr>
      </w:pPr>
    </w:p>
    <w:p w:rsidR="0017186C" w:rsidRPr="00197CCA" w:rsidRDefault="0017186C" w:rsidP="005D07B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86C" w:rsidRPr="00045184" w:rsidRDefault="0017186C" w:rsidP="005D07B4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7186C" w:rsidRPr="00F662FB" w:rsidRDefault="0017186C" w:rsidP="005D07B4">
      <w:pPr>
        <w:ind w:firstLine="567"/>
        <w:rPr>
          <w:i/>
          <w:lang w:val="uk-UA"/>
        </w:rPr>
      </w:pPr>
    </w:p>
    <w:p w:rsidR="0017186C" w:rsidRDefault="0017186C">
      <w:pPr>
        <w:rPr>
          <w:rFonts w:ascii="Times New Roman" w:hAnsi="Times New Roman"/>
          <w:i/>
          <w:lang w:val="uk-UA"/>
        </w:rPr>
      </w:pPr>
    </w:p>
    <w:p w:rsidR="0017186C" w:rsidRDefault="0017186C" w:rsidP="005D07B4">
      <w:pPr>
        <w:ind w:firstLine="567"/>
        <w:jc w:val="both"/>
        <w:rPr>
          <w:rFonts w:ascii="Times New Roman" w:hAnsi="Times New Roman"/>
          <w:i/>
          <w:lang w:val="uk-UA"/>
        </w:rPr>
      </w:pPr>
    </w:p>
    <w:p w:rsidR="0017186C" w:rsidRPr="00045184" w:rsidRDefault="0017186C" w:rsidP="0069684D">
      <w:p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"/>
        <w:gridCol w:w="6260"/>
      </w:tblGrid>
      <w:tr w:rsidR="0017186C" w:rsidRPr="00830F5F" w:rsidTr="00830F5F">
        <w:trPr>
          <w:trHeight w:val="350"/>
        </w:trPr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pStyle w:val="ListParagraph"/>
              <w:numPr>
                <w:ilvl w:val="0"/>
                <w:numId w:val="3"/>
              </w:numPr>
              <w:tabs>
                <w:tab w:val="num" w:pos="851"/>
              </w:tabs>
              <w:jc w:val="center"/>
            </w:pPr>
            <w:r w:rsidRPr="00830F5F">
              <w:rPr>
                <w:b/>
                <w:bCs/>
              </w:rPr>
              <w:t xml:space="preserve"> Загальна інформація</w:t>
            </w:r>
          </w:p>
        </w:tc>
      </w:tr>
      <w:tr w:rsidR="0017186C" w:rsidRPr="00830F5F" w:rsidTr="00830F5F">
        <w:trPr>
          <w:trHeight w:val="815"/>
        </w:trPr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b/>
                <w:iCs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0F5F">
              <w:rPr>
                <w:rFonts w:ascii="Times New Roman" w:hAnsi="Times New Roman"/>
                <w:lang w:val="uk-UA" w:eastAsia="ru-RU"/>
              </w:rPr>
              <w:t xml:space="preserve">Національний університет «Чернігівський колегіум» </w:t>
            </w:r>
          </w:p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830F5F">
              <w:rPr>
                <w:rFonts w:ascii="Times New Roman" w:hAnsi="Times New Roman"/>
                <w:lang w:val="uk-UA" w:eastAsia="ru-RU"/>
              </w:rPr>
              <w:t>імені Т. Г. Шевченка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Магістр освітніх, педагогічних наук, викладач закладів вищої освіти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Master degree (Master of </w:t>
            </w:r>
            <w:r w:rsidRPr="00830F5F">
              <w:rPr>
                <w:rFonts w:ascii="Times New Roman" w:hAnsi="Times New Roman"/>
                <w:lang w:val="en-US"/>
              </w:rPr>
              <w:t>Education in Higher School)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Тип диплому та обсяг освітньої програми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Диплом магістра, одиничний, 90 кредитів ЄКТС, </w:t>
            </w:r>
            <w:r w:rsidRPr="00830F5F">
              <w:rPr>
                <w:rFonts w:ascii="Times New Roman" w:hAnsi="Times New Roman"/>
                <w:lang w:val="uk-UA"/>
              </w:rPr>
              <w:br/>
              <w:t xml:space="preserve">термін навчання 1 рік </w:t>
            </w:r>
            <w:r w:rsidRPr="00830F5F">
              <w:rPr>
                <w:rFonts w:ascii="Times New Roman" w:hAnsi="Times New Roman"/>
              </w:rPr>
              <w:t>6</w:t>
            </w:r>
            <w:r w:rsidRPr="00830F5F">
              <w:rPr>
                <w:rFonts w:ascii="Times New Roman" w:hAnsi="Times New Roman"/>
                <w:lang w:val="uk-UA"/>
              </w:rPr>
              <w:t xml:space="preserve"> міс.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Наявність акредитації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Цикл/рівень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НРК України – 7 рівень,  FQ-EHEA – другий цикл, </w:t>
            </w:r>
            <w:r w:rsidRPr="00830F5F">
              <w:rPr>
                <w:rFonts w:ascii="Times New Roman" w:hAnsi="Times New Roman"/>
                <w:lang w:val="uk-UA"/>
              </w:rPr>
              <w:br/>
              <w:t>ЕQF-LLL – 7 рівень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Передумови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Наявність ступеня бакалавра (освітньо-кваліфікаційного рівня спеціаліст)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Мова викладання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Українська</w:t>
            </w:r>
            <w:r w:rsidRPr="00830F5F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2.  Мета освітньої програми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color w:val="000000"/>
                <w:lang w:val="uk-UA"/>
              </w:rPr>
              <w:t xml:space="preserve">Надати освіту у галузі педагогіки вищої школи. Сформувати необхідні загальні та професійні компетентності, </w:t>
            </w:r>
            <w:r w:rsidRPr="00830F5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необхідні викладачу закладу вищої освіти для виконання його професійних обов'язків, розвинути критичний стиль мислення, інтелектуально-логічні здібності</w:t>
            </w:r>
            <w:r w:rsidRPr="00830F5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lang w:val="uk-UA"/>
              </w:rPr>
              <w:t>3.  Характеристика освітньої програми</w:t>
            </w:r>
          </w:p>
        </w:tc>
      </w:tr>
      <w:tr w:rsidR="0017186C" w:rsidRPr="00830F5F" w:rsidTr="00830F5F">
        <w:trPr>
          <w:trHeight w:val="156"/>
        </w:trPr>
        <w:tc>
          <w:tcPr>
            <w:tcW w:w="3510" w:type="dxa"/>
          </w:tcPr>
          <w:p w:rsidR="0017186C" w:rsidRPr="00830F5F" w:rsidRDefault="0017186C" w:rsidP="00830F5F">
            <w:pPr>
              <w:pStyle w:val="NormalWeb"/>
              <w:jc w:val="both"/>
              <w:rPr>
                <w:b/>
                <w:sz w:val="22"/>
                <w:szCs w:val="22"/>
                <w:lang w:val="uk-UA"/>
              </w:rPr>
            </w:pPr>
            <w:r w:rsidRPr="00830F5F">
              <w:rPr>
                <w:b/>
                <w:iCs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Теоретичний зміст</w:t>
            </w:r>
            <w:r w:rsidRPr="00830F5F">
              <w:rPr>
                <w:rFonts w:ascii="Times New Roman" w:hAnsi="Times New Roman"/>
                <w:lang w:val="uk-UA"/>
              </w:rPr>
              <w:t xml:space="preserve"> (теорія і методологія педагогіки вищої школи, науково-педагогічної діяльності; концепція вищої освіти; аксіологічна й акмеологічна теорії професіоналізації особистості викладача педагогіки вищої школи; педагогічна інноватика).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Предмет вивчення</w:t>
            </w:r>
            <w:r w:rsidRPr="00830F5F">
              <w:rPr>
                <w:rFonts w:ascii="Times New Roman" w:hAnsi="Times New Roman"/>
                <w:lang w:val="uk-UA"/>
              </w:rPr>
              <w:t xml:space="preserve"> (філософські, загальнонаукові, педагогічні засади педагогіки вищої школи; актуальні проблеми технологізації, інноваційної діяльності викладача вищої школи; сучасні підходи до організації науково-педагогічної діяльності).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Методи і технології</w:t>
            </w:r>
            <w:r w:rsidRPr="00830F5F">
              <w:rPr>
                <w:rFonts w:ascii="Times New Roman" w:hAnsi="Times New Roman"/>
                <w:lang w:val="uk-UA"/>
              </w:rPr>
              <w:t xml:space="preserve"> (методи науково-педагогічного дослідження, інноваційні технології підготовки фахівців із педагогіки вищої школи; комунікативні прийоми науково-педагогічної взаємодії, інноваційні технології навчання).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Засоби</w:t>
            </w:r>
            <w:r w:rsidRPr="00830F5F">
              <w:rPr>
                <w:rFonts w:ascii="Times New Roman" w:hAnsi="Times New Roman"/>
                <w:lang w:val="uk-UA"/>
              </w:rPr>
              <w:t xml:space="preserve"> (інноваційні технічні засоби організації освітнього процесу, засоби дистанційного навчання, глобальні та локальні мережі організації навчального процесу).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lang w:val="uk-UA"/>
              </w:rPr>
              <w:t xml:space="preserve">4.  Придатність випускників освітньої програми </w:t>
            </w:r>
          </w:p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lang w:val="uk-UA"/>
              </w:rPr>
              <w:t>до працевлаштування та подальшого навчання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Придатність до працевлаштування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Професії, що передбачають високий рівень знань у галузі фізичних, математичних, технічних, біологічних, агрономічних, медичних чи гуманітарних наук відповідно до переліку ДК 003:2010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30F5F">
              <w:rPr>
                <w:rFonts w:ascii="Times New Roman" w:hAnsi="Times New Roman"/>
                <w:b/>
                <w:i/>
                <w:lang w:val="uk-UA"/>
              </w:rPr>
              <w:t xml:space="preserve">види економічної діяльності: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 Викладачі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− 231 Викладачі університетів та вищих навчальних закладів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− 2310 Викладачі університетів та вищих навчальних закладів.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− 2310.2 Інші викладачі університетів та вищих навчальних закладів.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− 232 Викладачі середніх навчальних закладів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 Інші професіонали в галузі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 Професіонали в галузі методів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− 2351.1 Наукові співробітники (методи навчання)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− 2351.2 Інші професіонали в галузі методів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 Інші професіонали в галузі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− 2359.1 Інші наукові співробітники в галузі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− 2359.2 Інші професіонали в галузі навчання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830F5F">
              <w:rPr>
                <w:rFonts w:ascii="Times New Roman" w:hAnsi="Times New Roman"/>
                <w:b/>
                <w:i/>
                <w:lang w:val="uk-UA"/>
              </w:rPr>
              <w:t xml:space="preserve">професійні назви робіт: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− 2310.2 Асистент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− 2310.2 Викладач вищого навчального закладу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− 2320 Викладач професійного навчально-виховного закладу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− 2320 Викладач професійно-технічного навчального закладу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Код КП − 2351.1 Молодший науковий співробітник (методи навчання)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− 2351.1 Науковий співробітник (методи навчання)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− 2351.1 Науковий співробітник-консультант (методи навчання) 2351.2 Викладач (методи навчання)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− 2351.2 Методист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− 2359.1 Молодший науковий співробітник (в інших галузях навчання)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− 2359.1 Науковий співробітник (в інших галузях навчання) 2359.1 Науковий співробітник-консультант (в інших галузях навчання)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Код КП − 2359.2 Лектор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Код КП − 2359.2 Педагог-організатор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Подальше навчання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Здобуття ступеня магістра освіти зі спеціальності 011 «Освітні, педагогічні науки» дає право на подальше підвищення кваліфікації до рівня професіонала, </w:t>
            </w:r>
            <w:r w:rsidRPr="00830F5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проведення </w:t>
            </w:r>
            <w:r w:rsidRPr="00830F5F">
              <w:rPr>
                <w:rFonts w:ascii="Times New Roman" w:hAnsi="Times New Roman"/>
                <w:lang w:val="uk-UA"/>
              </w:rPr>
              <w:t>самостійних досліджень з метою розв’язання актуальних складних науково-педагогічних питань, вступ на освітньо-наукову програму підготовки і здобуття ступеня доктора філософії. Продовження навчання на третьому рівні вищої освіти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5.  Викладання та оцінювання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Викладання та навчання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Лекційні курси поєднуються з практичними заняттями, використання мультимедійних технологій навчання. Більша частина навчання відбувається в малих групах (до 20 осіб) з дискусіями та підготовкою презентацій самостійно. Акцент на особистісному саморозвитку, груповій та проектній роботі. До викладання залучаються висококваліфіковані викладачі та фахівці в галузі спеціальної освіти. Протягом останнього року навчання половина часу при</w:t>
            </w:r>
            <w:r w:rsidRPr="00830F5F">
              <w:rPr>
                <w:rFonts w:ascii="Times New Roman" w:hAnsi="Times New Roman"/>
                <w:lang w:val="uk-UA"/>
              </w:rPr>
              <w:softHyphen/>
              <w:t>свячується написанню дипломної роботи, що презентується та захищається на засіданні Державної екзаменаційної комісії, проходженню переддипломної та асистентської практик з мето набуття практичного педагогічного досвіду.</w:t>
            </w:r>
          </w:p>
        </w:tc>
      </w:tr>
      <w:tr w:rsidR="0017186C" w:rsidRPr="00830F5F" w:rsidTr="00830F5F">
        <w:trPr>
          <w:trHeight w:val="3108"/>
        </w:trPr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Оцінювання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Методи оцінювання, якими визначається рівень засвоєння знань з того чи іншого модуля застосовуються такі: поточне оцінювання здійснюється шляхом виконання тестових завдань, контрольних та курсових робіт, усного та письмового опитування; підсумкове оцінювання здійснюється на підставі результатів поточного контролю та підсумкової роботи (якщо передбачено програмою навчальної дисципліни) за національною системою та системою ЕCТS (залік, екзамен), дипломної роботи за 5-бальною національною системою оцінок та системою ЕCТS, проходження практик за національною системою диференційованого заліку та системою ЕCТS.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Переддипломна та асистентська практики закінчуються захистом із виставленням відповідної оцінки.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З метою визначення відповідності рівня засвоєння знань випускників другому освітньому (магістерському) рівню проводиться виконання і захист дипломної роботи.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 xml:space="preserve">Дипломна  робота виконується в період навчання. Вона повинна бути самостійною і логічно завершеною, пов'язаною з вирішенням науково-дослідних завдань того виду діяльності, до якого готується магістр. </w:t>
            </w:r>
          </w:p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Під час виконання дипломної роботи студенти повинні продемонструвати свою здатність і вміння, спираючись на отримані поглиблені знання, вміння та сформовані загальнокультурні і професійні компетентності, самостійно вирішувати на сучасному рівні завдання своєї професійної діяльності, професійно викладати спеціальну інформацію, науково аргументувати і захищати свою точку зору. Захист роботи в обов'язковому порядку передбачає й оцінку рівня мовленнєвої культури випускника.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6.  Програмні компетентності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Інтегральна компетентність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Здатність розв’язувати складні завдання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Загальні компетентності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1.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застосовувати знання в практичних ситуаціях.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2.</w:t>
            </w:r>
            <w:r w:rsidRPr="00830F5F">
              <w:rPr>
                <w:rFonts w:ascii="Times New Roman" w:hAnsi="Times New Roman"/>
                <w:lang w:val="uk-UA"/>
              </w:rPr>
              <w:t xml:space="preserve"> Знання та розуміння предметної області та розуміння професії.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3.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проведення досліджень на відповідному рівні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4.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до пошуку, оброблення та аналізу інформації з різних джерел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5.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до адаптації та дії в новій ситуації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6.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генерувати нові ідеї (креативність)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7.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виявляти, ставити та вирішувати проблеми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8.</w:t>
            </w:r>
            <w:r w:rsidRPr="00830F5F">
              <w:rPr>
                <w:rFonts w:ascii="Times New Roman" w:hAnsi="Times New Roman"/>
                <w:lang w:val="uk-UA"/>
              </w:rPr>
              <w:t xml:space="preserve"> Навички міжособистісної взаємодії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 9.</w:t>
            </w:r>
            <w:r w:rsidRPr="00830F5F">
              <w:rPr>
                <w:rFonts w:ascii="Times New Roman" w:hAnsi="Times New Roman"/>
                <w:lang w:val="uk-UA"/>
              </w:rPr>
              <w:t xml:space="preserve"> Толерантність і повага до різноманітності думок та мультикультурності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10.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працювати автономно і в міжнародному контексті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ЗК 11.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розробляти та управляти проектами.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Спеціальні (фахові) компетентності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проектувати і реалізувати зміст освіти, зміст навчання, індивідуальні освітні траєкторії за рівнями Національної рамки кваліфікацій.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2.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до створення освітнього середовища, що забезпечує якість освіти.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3.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розробляти комплексне навчально- методичне забезпечення навчальної дисципліни.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4.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продукувати систему управління пізнавальною діяльністю, що забезпечує досягнення програмних результатів навчання.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5.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застосовувати інноваційні педагогічні технології з урахуванням особливостей підготовки фахівців за різними спеціальностями.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6.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планувати і проводити теоретичні та емпіричні дослідження у сфері освіти.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7.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застосовувати діагностичний інструментарій оцінювання академічних досягнень здобувачів освіти.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8.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організовувати управління і самоуправління освітнім процесом.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9.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реалізувати здоров’язбережувальний підхід в організації освітнього процесу.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10.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будувати ефективну комунікативну взаємодію із суб’єктами освітнього процесу.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11.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до рефлексії в процесі розв’язання професійних завдань.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12.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до самоосвіти і професійного самовдосконалення.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13.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застосовувати інформаційні технології в освітньому процесі.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14.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створювати просвітницькі програми популяризації освіти, науки та культури. </w:t>
            </w:r>
          </w:p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ФК 15.</w:t>
            </w:r>
            <w:r w:rsidRPr="00830F5F">
              <w:rPr>
                <w:rFonts w:ascii="Times New Roman" w:hAnsi="Times New Roman"/>
                <w:lang w:val="uk-UA"/>
              </w:rPr>
              <w:t xml:space="preserve"> Здатність забезпечувати міжпредметні зв’язки.</w:t>
            </w:r>
          </w:p>
        </w:tc>
      </w:tr>
      <w:tr w:rsidR="0017186C" w:rsidRPr="00830F5F" w:rsidTr="00830F5F">
        <w:tc>
          <w:tcPr>
            <w:tcW w:w="9776" w:type="dxa"/>
            <w:gridSpan w:val="3"/>
            <w:shd w:val="pct25" w:color="auto" w:fill="auto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lang w:val="uk-UA"/>
              </w:rPr>
              <w:t>7. Програмні результати навчання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Знання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Знати завдання, категорії, поняття педагогіки вищої школи, сучасні методологічні підходи у педагогіці вищої школи.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Знати історичні етапи в розвитку вищої освіти за кордоном і в Україні, тенденції розвитку вищої освіти в сучасній Україні відповідно до вимог Болонського процесу, зміст документів, які регламентують організацію вищої осів в Україні.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Знати принципи, зміст, методи та організаційні форми навчально-виховної діяльності зі студентами.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Володіти комплексними знаннями складників професійної діяльності викладача вищої школи, шляхи формування педагогічної майстерності.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>Знати загальні методи  групової роботи, основні  положення теорії спілкування, види, стилі, техніки професійно-педагогічного спілкування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 xml:space="preserve">Уміння 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розробляти матеріали навчального та навчально-методичного спрямування.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підготувати та провести на високому методологічному, дидактичному та методичному рівнях різні види навчальних занять.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створювати методичне забезпечення для організації практики студентів.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реалізувати виховні функції у процесі групової та індивідуальної роботи зі студентами.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використовувати знання, уміння й навички управління персоналом для організації навчально-виховного процесу закладів вищої освіти.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використовувати теоретичні знання й практичні навички організації та проведення науково-педагогічних досліджень для управління навчально-виховним процесом закладів вищої освіти.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>Уміння використовувати теоретичні знання й практичні уміння організації зв’язків з громадськістю та засобами масової інформації для вирішення завдань навчально-виховного процесу закладів вищої освіти.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Комунікація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Уміння здійснювати вплив на студентів, їх погляди, освітню позицію, допомагаючи в особистісному і професійному становленні майбутнього фахівця.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Вміти використовувати професійну термінологію.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Володіти засобами медіації.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Володіти навичками наукового та ділового спілкування (як усного, так і письмового).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Вміти висловлювати власні думки, скласти план повідомлення, структурувати матеріал відповідно до плану, вести діалог.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Вміти користуватися засобами електронної комунікації,  добирати інформацію з теми, шукати інформацію в Інтернеті, використовувати засоби електронної комунікації.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34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>Вміти коригувати свою поведінку у процесі комунікації, презентувати навчальну інформацію в документальній та електронній формах.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830F5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lang w:val="uk-UA"/>
              </w:rPr>
              <w:t>Автономія і відповідальність</w:t>
            </w:r>
          </w:p>
          <w:p w:rsidR="0017186C" w:rsidRPr="00830F5F" w:rsidRDefault="0017186C" w:rsidP="00830F5F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Здатність розвивати свій загальнокультурний і професійний рівень.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 xml:space="preserve">Здатність планувати і управляти часом у професійній діяльності. </w:t>
            </w:r>
          </w:p>
          <w:p w:rsidR="0017186C" w:rsidRPr="00830F5F" w:rsidRDefault="0017186C" w:rsidP="00830F5F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ind w:left="318"/>
              <w:jc w:val="both"/>
              <w:rPr>
                <w:sz w:val="22"/>
                <w:szCs w:val="22"/>
              </w:rPr>
            </w:pPr>
            <w:r w:rsidRPr="00830F5F">
              <w:rPr>
                <w:sz w:val="22"/>
                <w:szCs w:val="22"/>
              </w:rPr>
              <w:t>Здатність реагувати на соціально-освітні виклики сьогодення.</w:t>
            </w:r>
          </w:p>
          <w:p w:rsidR="0017186C" w:rsidRPr="00BC4535" w:rsidRDefault="0017186C" w:rsidP="00830F5F">
            <w:pPr>
              <w:pStyle w:val="ListParagraph"/>
              <w:numPr>
                <w:ilvl w:val="0"/>
                <w:numId w:val="7"/>
              </w:numPr>
              <w:tabs>
                <w:tab w:val="num" w:pos="426"/>
              </w:tabs>
              <w:ind w:left="318"/>
              <w:jc w:val="both"/>
            </w:pPr>
            <w:r w:rsidRPr="00830F5F">
              <w:rPr>
                <w:sz w:val="22"/>
                <w:szCs w:val="22"/>
              </w:rPr>
              <w:t>Здатність</w:t>
            </w:r>
            <w:r w:rsidRPr="00830F5F">
              <w:rPr>
                <w:rStyle w:val="FontStyle156"/>
                <w:sz w:val="22"/>
                <w:szCs w:val="22"/>
                <w:lang w:eastAsia="uk-UA"/>
              </w:rPr>
              <w:t xml:space="preserve"> аналізувати соціально та особистісно значущі світоглядні проблеми, ухвалювати рішення на основі сформованих ціннісних орієнтирів.</w:t>
            </w:r>
          </w:p>
        </w:tc>
      </w:tr>
      <w:tr w:rsidR="0017186C" w:rsidRPr="00830F5F" w:rsidTr="00830F5F">
        <w:tc>
          <w:tcPr>
            <w:tcW w:w="9776" w:type="dxa"/>
            <w:gridSpan w:val="3"/>
          </w:tcPr>
          <w:p w:rsidR="0017186C" w:rsidRPr="00AA00BC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center"/>
            </w:pPr>
            <w:r w:rsidRPr="00830F5F">
              <w:rPr>
                <w:b/>
                <w:bCs/>
              </w:rPr>
              <w:t xml:space="preserve"> Ресурсне забезпечення реалізації програми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69684D">
            <w:pPr>
              <w:spacing w:after="0" w:line="240" w:lineRule="auto"/>
              <w:rPr>
                <w:rFonts w:ascii="Times New Roman" w:hAnsi="Times New Roman"/>
                <w:b/>
                <w:iCs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Специфічні характеристики кадрового забезпечення</w:t>
            </w:r>
          </w:p>
          <w:p w:rsidR="0017186C" w:rsidRPr="00830F5F" w:rsidRDefault="0017186C" w:rsidP="0069684D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Практична реалізація освітньої програми передбачає залучення науково-педагогічних працівників, які мають наукові ступені та вчені звання.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6968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Матеріально-технічне забезпечення відповідає умовам, що висуваються до здійснення освітньої діяльності закладів вищої освіти: спеціалізовані аудиторії, кабінети, читальний зал, обладнані мультимедійними засобами; вільний доступ до мережі Інтернет.</w:t>
            </w:r>
          </w:p>
        </w:tc>
      </w:tr>
      <w:tr w:rsidR="0017186C" w:rsidRPr="00830F5F" w:rsidTr="00830F5F">
        <w:tc>
          <w:tcPr>
            <w:tcW w:w="3510" w:type="dxa"/>
          </w:tcPr>
          <w:p w:rsidR="0017186C" w:rsidRPr="00830F5F" w:rsidRDefault="0017186C" w:rsidP="006968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Специфічні характеристики інформаційно-методичного забезпечення</w:t>
            </w:r>
          </w:p>
        </w:tc>
        <w:tc>
          <w:tcPr>
            <w:tcW w:w="6266" w:type="dxa"/>
            <w:gridSpan w:val="2"/>
          </w:tcPr>
          <w:p w:rsidR="0017186C" w:rsidRPr="00830F5F" w:rsidRDefault="0017186C" w:rsidP="00830F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Сучасні прикладні програмні продукти. Електронні (on і offline) освітньо-наукові ресурси; електронні бібліотечні online ресурси, платформа дистанційного навчання Moodle. Інформаційно-методичне забезпечення освітньої програми включає необхідні навчально-методичні комплекси для кожної навчальної дисципліни: навчально-методичні комплекси дисциплін в електронному вигляді, підручники, навчальні посібники, довідкова та інша навчальна література, фонд фахових періодичних видань.</w:t>
            </w:r>
          </w:p>
        </w:tc>
      </w:tr>
      <w:tr w:rsidR="0017186C" w:rsidRPr="00830F5F" w:rsidTr="00830F5F">
        <w:tc>
          <w:tcPr>
            <w:tcW w:w="9776" w:type="dxa"/>
            <w:gridSpan w:val="3"/>
          </w:tcPr>
          <w:p w:rsidR="0017186C" w:rsidRPr="0040236E" w:rsidRDefault="0017186C" w:rsidP="00830F5F">
            <w:pPr>
              <w:pStyle w:val="ListParagraph"/>
              <w:numPr>
                <w:ilvl w:val="0"/>
                <w:numId w:val="4"/>
              </w:numPr>
              <w:tabs>
                <w:tab w:val="num" w:pos="426"/>
              </w:tabs>
              <w:jc w:val="center"/>
            </w:pPr>
            <w:r w:rsidRPr="00830F5F">
              <w:rPr>
                <w:b/>
                <w:bCs/>
              </w:rPr>
              <w:t>Академічна мобільність</w:t>
            </w:r>
          </w:p>
        </w:tc>
      </w:tr>
      <w:tr w:rsidR="0017186C" w:rsidRPr="00830F5F" w:rsidTr="00830F5F">
        <w:tc>
          <w:tcPr>
            <w:tcW w:w="3516" w:type="dxa"/>
            <w:gridSpan w:val="2"/>
          </w:tcPr>
          <w:p w:rsidR="0017186C" w:rsidRPr="00830F5F" w:rsidRDefault="0017186C" w:rsidP="0069684D">
            <w:pPr>
              <w:spacing w:after="0" w:line="240" w:lineRule="auto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260" w:type="dxa"/>
          </w:tcPr>
          <w:p w:rsidR="0017186C" w:rsidRPr="00830F5F" w:rsidRDefault="0017186C" w:rsidP="00830F5F">
            <w:pPr>
              <w:tabs>
                <w:tab w:val="num" w:pos="28"/>
              </w:tabs>
              <w:spacing w:after="0" w:line="240" w:lineRule="auto"/>
              <w:ind w:left="28"/>
              <w:jc w:val="both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На основі двосторонніх договорів між Національним університетом «Чернігівський колегіум» імені Т. Г. Шевченка та університетами України.</w:t>
            </w:r>
          </w:p>
        </w:tc>
      </w:tr>
      <w:tr w:rsidR="0017186C" w:rsidRPr="00830F5F" w:rsidTr="00830F5F">
        <w:tc>
          <w:tcPr>
            <w:tcW w:w="3516" w:type="dxa"/>
            <w:gridSpan w:val="2"/>
          </w:tcPr>
          <w:p w:rsidR="0017186C" w:rsidRPr="00830F5F" w:rsidRDefault="0017186C" w:rsidP="0069684D">
            <w:pPr>
              <w:spacing w:after="0" w:line="240" w:lineRule="auto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260" w:type="dxa"/>
          </w:tcPr>
          <w:p w:rsidR="0017186C" w:rsidRPr="00830F5F" w:rsidRDefault="0017186C" w:rsidP="00830F5F">
            <w:pPr>
              <w:tabs>
                <w:tab w:val="num" w:pos="28"/>
              </w:tabs>
              <w:spacing w:after="0" w:line="240" w:lineRule="auto"/>
              <w:ind w:left="28"/>
              <w:jc w:val="both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На основі двосторонніх договорів між Національним університетом «Чернігівський колегіум» імені Т. Г. Шевченка та навчальними закладами країн-партнерів</w:t>
            </w:r>
          </w:p>
        </w:tc>
      </w:tr>
      <w:tr w:rsidR="0017186C" w:rsidRPr="00830F5F" w:rsidTr="00830F5F">
        <w:tc>
          <w:tcPr>
            <w:tcW w:w="3516" w:type="dxa"/>
            <w:gridSpan w:val="2"/>
          </w:tcPr>
          <w:p w:rsidR="0017186C" w:rsidRPr="00830F5F" w:rsidRDefault="0017186C" w:rsidP="0069684D">
            <w:pPr>
              <w:spacing w:after="0" w:line="240" w:lineRule="auto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60" w:type="dxa"/>
          </w:tcPr>
          <w:p w:rsidR="0017186C" w:rsidRPr="00830F5F" w:rsidRDefault="0017186C" w:rsidP="00830F5F">
            <w:pPr>
              <w:tabs>
                <w:tab w:val="num" w:pos="28"/>
              </w:tabs>
              <w:spacing w:after="0" w:line="240" w:lineRule="auto"/>
              <w:ind w:left="28"/>
              <w:jc w:val="both"/>
              <w:rPr>
                <w:b/>
                <w:bCs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Можливе, після вивчення курсу української мови</w:t>
            </w:r>
          </w:p>
        </w:tc>
      </w:tr>
    </w:tbl>
    <w:p w:rsidR="0017186C" w:rsidRDefault="0017186C">
      <w:pPr>
        <w:rPr>
          <w:lang w:val="uk-UA"/>
        </w:rPr>
      </w:pPr>
      <w:r>
        <w:rPr>
          <w:lang w:val="uk-UA"/>
        </w:rPr>
        <w:br w:type="page"/>
      </w:r>
    </w:p>
    <w:p w:rsidR="0017186C" w:rsidRPr="005F0AE1" w:rsidRDefault="0017186C" w:rsidP="005F0AE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461813">
        <w:rPr>
          <w:rFonts w:ascii="Times New Roman" w:hAnsi="Times New Roman"/>
          <w:b/>
          <w:sz w:val="24"/>
          <w:szCs w:val="24"/>
          <w:lang w:val="uk-UA"/>
        </w:rPr>
        <w:t>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ЗПОДІЛ ЗМІСТУ </w:t>
      </w:r>
      <w:r>
        <w:rPr>
          <w:rFonts w:ascii="Times New Roman" w:hAnsi="Times New Roman"/>
          <w:b/>
          <w:sz w:val="24"/>
          <w:szCs w:val="24"/>
          <w:lang w:val="uk-UA"/>
        </w:rPr>
        <w:br/>
        <w:t>ОСВІТНЬО-ПРОФЕСІЙНОЇ</w:t>
      </w:r>
      <w:r w:rsidRPr="00461813">
        <w:rPr>
          <w:rFonts w:ascii="Times New Roman" w:hAnsi="Times New Roman"/>
          <w:b/>
          <w:sz w:val="24"/>
          <w:szCs w:val="24"/>
          <w:lang w:val="uk-UA"/>
        </w:rPr>
        <w:t xml:space="preserve"> ПРОГРАМИ ЗА ГРУПАМИ КОМПОНЕНТІВ ПІДГОТОВКИ</w:t>
      </w:r>
    </w:p>
    <w:p w:rsidR="0017186C" w:rsidRPr="00461813" w:rsidRDefault="0017186C" w:rsidP="005F0AE1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7186C" w:rsidRDefault="0017186C" w:rsidP="005F0A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0AE1">
        <w:rPr>
          <w:rFonts w:ascii="Times New Roman" w:hAnsi="Times New Roman"/>
          <w:sz w:val="28"/>
          <w:szCs w:val="28"/>
          <w:lang w:val="uk-UA"/>
        </w:rPr>
        <w:t>Термін навчання за освітньо-професійною програмою становить 1,5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F0AE1">
        <w:rPr>
          <w:rFonts w:ascii="Times New Roman" w:hAnsi="Times New Roman"/>
          <w:sz w:val="28"/>
          <w:szCs w:val="28"/>
          <w:lang w:val="uk-UA"/>
        </w:rPr>
        <w:t xml:space="preserve">роки. Освітню програму зорієнтовано на теоретичну, методичну і практичну підготовку здобувачів другого (освітнього) рівня зі спеціальності 011 Освітні, педагогічні науки (спеціалізації «Педагогіка вищої школи») для викладацької діяльності у </w:t>
      </w:r>
      <w:r>
        <w:rPr>
          <w:rFonts w:ascii="Times New Roman" w:hAnsi="Times New Roman"/>
          <w:sz w:val="28"/>
          <w:szCs w:val="28"/>
          <w:lang w:val="uk-UA"/>
        </w:rPr>
        <w:t>закладах вищої освіти</w:t>
      </w:r>
      <w:r w:rsidRPr="005F0AE1">
        <w:rPr>
          <w:rFonts w:ascii="Times New Roman" w:hAnsi="Times New Roman"/>
          <w:sz w:val="28"/>
          <w:szCs w:val="28"/>
          <w:lang w:val="uk-UA"/>
        </w:rPr>
        <w:t xml:space="preserve"> та досліджень в галузі освіти. Загальний обсяг освітньо-професійної програми – 90 кредитів. Одному кредиту ЄКТС відповідає 30 годин загального навчального навантаження. У таблиці подано розподіл змісту освітньо-професійної програми з урахуванням навчального часу та кількості кредитів ЄКТС. Освітня програма передбачає виокремлення нормативних та вибіркових навчальних дисциплін, цикл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F0AE1">
        <w:rPr>
          <w:rFonts w:ascii="Times New Roman" w:hAnsi="Times New Roman"/>
          <w:sz w:val="28"/>
          <w:szCs w:val="28"/>
          <w:lang w:val="uk-UA"/>
        </w:rPr>
        <w:t xml:space="preserve"> професійної підготовки, практичної підготовки, проміжної та підсумкової атестацій.</w:t>
      </w:r>
    </w:p>
    <w:p w:rsidR="0017186C" w:rsidRPr="005F0AE1" w:rsidRDefault="0017186C" w:rsidP="005F0AE1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166"/>
        <w:gridCol w:w="2087"/>
        <w:gridCol w:w="2410"/>
        <w:gridCol w:w="2268"/>
      </w:tblGrid>
      <w:tr w:rsidR="0017186C" w:rsidRPr="00830F5F" w:rsidTr="005F0AE1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№ </w:t>
            </w:r>
          </w:p>
          <w:p w:rsidR="0017186C" w:rsidRPr="00830F5F" w:rsidRDefault="0017186C" w:rsidP="009867E1">
            <w:pPr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Цикл підготовки</w:t>
            </w:r>
          </w:p>
        </w:tc>
        <w:tc>
          <w:tcPr>
            <w:tcW w:w="6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Обсяг навчального навантаження здобувача вищої освіти </w:t>
            </w: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br/>
              <w:t>(кредитів / %)</w:t>
            </w:r>
          </w:p>
        </w:tc>
      </w:tr>
      <w:tr w:rsidR="0017186C" w:rsidRPr="00830F5F" w:rsidTr="005F0AE1">
        <w:trPr>
          <w:trHeight w:val="137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Обов’язкові компоненти освітньо-професійної програми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Вибіркові компоненти освітньо-професійної програми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Всього </w:t>
            </w:r>
          </w:p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 весь термін </w:t>
            </w:r>
          </w:p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навчання </w:t>
            </w:r>
          </w:p>
        </w:tc>
      </w:tr>
      <w:tr w:rsidR="0017186C" w:rsidRPr="00830F5F" w:rsidTr="005F0AE1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9867E1">
            <w:pPr>
              <w:snapToGrid w:val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D45752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64/70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D45752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26/30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90/100</w:t>
            </w:r>
          </w:p>
        </w:tc>
      </w:tr>
      <w:tr w:rsidR="0017186C" w:rsidRPr="00830F5F" w:rsidTr="005F0AE1">
        <w:tc>
          <w:tcPr>
            <w:tcW w:w="27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Всього за весь термін навчання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D457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64/70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D45752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26/30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9867E1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8"/>
                <w:szCs w:val="24"/>
                <w:lang w:val="uk-UA"/>
              </w:rPr>
              <w:t>90/100</w:t>
            </w:r>
          </w:p>
        </w:tc>
      </w:tr>
    </w:tbl>
    <w:p w:rsidR="0017186C" w:rsidRDefault="0017186C" w:rsidP="00BF28BA">
      <w:pPr>
        <w:rPr>
          <w:lang w:val="uk-UA"/>
        </w:rPr>
      </w:pPr>
    </w:p>
    <w:p w:rsidR="0017186C" w:rsidRDefault="0017186C">
      <w:pPr>
        <w:rPr>
          <w:lang w:val="uk-UA"/>
        </w:rPr>
      </w:pPr>
      <w:r>
        <w:rPr>
          <w:lang w:val="uk-UA"/>
        </w:rPr>
        <w:br w:type="page"/>
      </w:r>
    </w:p>
    <w:p w:rsidR="0017186C" w:rsidRPr="00057119" w:rsidRDefault="0017186C" w:rsidP="005F0AE1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057119">
        <w:rPr>
          <w:rFonts w:ascii="Times New Roman" w:hAnsi="Times New Roman"/>
          <w:b/>
          <w:bCs/>
          <w:sz w:val="28"/>
          <w:szCs w:val="24"/>
          <w:lang w:val="uk-UA"/>
        </w:rPr>
        <w:t>ПЕРЕЛІК КОМПОНЕНТ ОСВІТНЬО-ПРОФЕСІЙНОЇ ПРОГРАМИ ТА ЇХ ЛОГІЧНА ПОСЛІДОВНІСТЬ</w:t>
      </w:r>
    </w:p>
    <w:p w:rsidR="0017186C" w:rsidRPr="00057119" w:rsidRDefault="0017186C" w:rsidP="005F0AE1">
      <w:pPr>
        <w:numPr>
          <w:ilvl w:val="1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/>
        </w:rPr>
      </w:pPr>
      <w:r w:rsidRPr="00057119">
        <w:rPr>
          <w:rFonts w:ascii="Times New Roman" w:hAnsi="Times New Roman"/>
          <w:b/>
          <w:bCs/>
          <w:sz w:val="28"/>
          <w:szCs w:val="24"/>
          <w:lang w:val="uk-UA"/>
        </w:rPr>
        <w:t>Перелік компонент ОП</w:t>
      </w:r>
    </w:p>
    <w:tbl>
      <w:tblPr>
        <w:tblW w:w="9640" w:type="dxa"/>
        <w:tblInd w:w="-34" w:type="dxa"/>
        <w:tblLayout w:type="fixed"/>
        <w:tblLook w:val="0000"/>
      </w:tblPr>
      <w:tblGrid>
        <w:gridCol w:w="1135"/>
        <w:gridCol w:w="6378"/>
        <w:gridCol w:w="851"/>
        <w:gridCol w:w="1276"/>
      </w:tblGrid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Компоненти освітньої програми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  <w:p w:rsidR="0017186C" w:rsidRPr="00830F5F" w:rsidRDefault="0017186C" w:rsidP="005F0A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підсумк. контролю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7186C" w:rsidRPr="00830F5F" w:rsidTr="00C3352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Обов’язкові компоненти освітньо-професійної програми </w:t>
            </w:r>
          </w:p>
          <w:p w:rsidR="0017186C" w:rsidRPr="00830F5F" w:rsidRDefault="0017186C" w:rsidP="00157A03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спеціальністю 011 </w:t>
            </w:r>
            <w:r w:rsidRPr="00830F5F">
              <w:rPr>
                <w:rFonts w:ascii="Times New Roman" w:hAnsi="Times New Roman"/>
                <w:b/>
                <w:lang w:val="uk-UA"/>
              </w:rPr>
              <w:t>«Освітні, педагогічні науки»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Теорія і практика вищої професійної освіти в Україні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35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та професійна психологія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ЗПП.03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управління навчально-виховним процесом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ЗПП.04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1A76D0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</w:t>
            </w:r>
            <w:r w:rsidRPr="00980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освітньої та професійної підготовки фахівця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ЗПП.05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9A68CC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035F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у вищій освіті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9803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52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контроль в системі освіти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52F">
              <w:rPr>
                <w:rFonts w:ascii="Times New Roman" w:hAnsi="Times New Roman"/>
                <w:sz w:val="24"/>
                <w:szCs w:val="24"/>
                <w:lang w:val="uk-UA"/>
              </w:rPr>
              <w:t>Дидактичні системи у вищій освіті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ЗПП.08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52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A0D">
              <w:rPr>
                <w:rFonts w:ascii="Times New Roman" w:hAnsi="Times New Roman"/>
                <w:sz w:val="24"/>
                <w:szCs w:val="24"/>
                <w:lang w:val="uk-UA"/>
              </w:rPr>
              <w:t>ЗПП.09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Соціальна та екологічна безпека діяльності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17186C" w:rsidRPr="00C52A0D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A690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487A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Дипломне проектування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487A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487A8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A6900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C52A0D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487A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Державна а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тестація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487A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487A8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3352B">
        <w:tc>
          <w:tcPr>
            <w:tcW w:w="75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186C" w:rsidRPr="00830F5F" w:rsidRDefault="0017186C" w:rsidP="005F0AE1">
            <w:pPr>
              <w:snapToGrid w:val="0"/>
              <w:ind w:right="114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кредитів: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186C" w:rsidRPr="00830F5F" w:rsidRDefault="0017186C" w:rsidP="001A76D0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3352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Вибіркові компоненти освітньо-професійної програми </w:t>
            </w:r>
          </w:p>
        </w:tc>
      </w:tr>
      <w:tr w:rsidR="0017186C" w:rsidRPr="00830F5F" w:rsidTr="00C3352B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 студента</w:t>
            </w:r>
          </w:p>
        </w:tc>
      </w:tr>
      <w:tr w:rsidR="0017186C" w:rsidRPr="00830F5F" w:rsidTr="00C3352B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01</w:t>
            </w:r>
          </w:p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200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 наукових досліджень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та Болонський процес</w:t>
            </w: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C3352B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02</w:t>
            </w:r>
          </w:p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Організаційна культура викладача вищої школи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7186C" w:rsidRPr="00521165" w:rsidRDefault="0017186C" w:rsidP="0014298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DA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одернізація системи управління освіти в Україні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5F0A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C3352B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03</w:t>
            </w:r>
          </w:p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Психофізіологічний тренінг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7186C" w:rsidRPr="00830F5F" w:rsidRDefault="0017186C" w:rsidP="00C3352B">
            <w:pPr>
              <w:ind w:firstLine="42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B211A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296752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компетентність</w:t>
            </w: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7186C" w:rsidRPr="00521165" w:rsidRDefault="0017186C" w:rsidP="00C3352B">
            <w:pPr>
              <w:ind w:firstLine="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C3352B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04</w:t>
            </w:r>
          </w:p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DA9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7186C" w:rsidRPr="00830F5F" w:rsidRDefault="0017186C" w:rsidP="00C3352B">
            <w:pPr>
              <w:ind w:firstLine="42"/>
              <w:contextualSpacing/>
              <w:jc w:val="center"/>
            </w:pPr>
            <w:r w:rsidRPr="000B211A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організації с/р студентів</w:t>
            </w: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7186C" w:rsidRPr="00521165" w:rsidRDefault="0017186C" w:rsidP="00C3352B">
            <w:pPr>
              <w:ind w:firstLine="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C3352B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05</w:t>
            </w:r>
          </w:p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DA9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педагогічні технології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7186C" w:rsidRPr="00830F5F" w:rsidRDefault="0017186C" w:rsidP="00C3352B">
            <w:pPr>
              <w:ind w:firstLine="42"/>
              <w:contextualSpacing/>
              <w:jc w:val="center"/>
            </w:pPr>
            <w:r w:rsidRPr="000B211A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Світовий досвід розвитку вищої школи</w:t>
            </w: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9A7B92">
        <w:trPr>
          <w:trHeight w:val="315"/>
        </w:trPr>
        <w:tc>
          <w:tcPr>
            <w:tcW w:w="1135" w:type="dxa"/>
            <w:vMerge w:val="restart"/>
            <w:tcBorders>
              <w:left w:val="single" w:sz="8" w:space="0" w:color="000000"/>
            </w:tcBorders>
            <w:vAlign w:val="center"/>
          </w:tcPr>
          <w:p w:rsidR="0017186C" w:rsidRDefault="0017186C" w:rsidP="00E81DA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06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Pr="00E81DA9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та етика пед. спілкування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EF06B7">
        <w:trPr>
          <w:trHeight w:val="300"/>
        </w:trPr>
        <w:tc>
          <w:tcPr>
            <w:tcW w:w="1135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Default="0017186C" w:rsidP="00E81DA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Default="0017186C" w:rsidP="005E6DDA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Конфліктологія</w:t>
            </w:r>
            <w:r w:rsidRPr="00521165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</w:tcBorders>
            <w:vAlign w:val="center"/>
          </w:tcPr>
          <w:p w:rsidR="0017186C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F310D7"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7186C" w:rsidRPr="00521165" w:rsidRDefault="0017186C" w:rsidP="00E81DA9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ВС. 07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DA9">
              <w:rPr>
                <w:rFonts w:ascii="Times New Roman" w:hAnsi="Times New Roman"/>
                <w:sz w:val="24"/>
                <w:szCs w:val="24"/>
                <w:lang w:val="uk-UA"/>
              </w:rPr>
              <w:t>Основи медіаграмотності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5F0AE1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дистанційного навчання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521165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3352B"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C3352B">
            <w:pPr>
              <w:snapToGrid w:val="0"/>
              <w:ind w:right="114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кредитів: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3352B">
        <w:trPr>
          <w:trHeight w:val="3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ППН.01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Асистентська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Pr="00830F5F" w:rsidRDefault="0017186C" w:rsidP="003272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5F0AE1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ППН.02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7186C" w:rsidRPr="00830F5F" w:rsidRDefault="0017186C" w:rsidP="00C335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7186C" w:rsidRPr="00830F5F" w:rsidRDefault="0017186C" w:rsidP="00C3352B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C3352B"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86C" w:rsidRPr="00830F5F" w:rsidRDefault="0017186C" w:rsidP="00C3352B">
            <w:pPr>
              <w:snapToGrid w:val="0"/>
              <w:ind w:right="114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кредитів: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7186C" w:rsidRPr="00830F5F" w:rsidRDefault="0017186C" w:rsidP="003272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C3352B">
        <w:tc>
          <w:tcPr>
            <w:tcW w:w="75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7186C" w:rsidRPr="00830F5F" w:rsidRDefault="0017186C" w:rsidP="00C3352B">
            <w:pPr>
              <w:snapToGrid w:val="0"/>
              <w:ind w:right="11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Разом кредитів: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ind w:firstLine="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7186C" w:rsidRPr="00830F5F" w:rsidRDefault="0017186C" w:rsidP="00C3352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7186C" w:rsidRPr="00327207" w:rsidRDefault="0017186C" w:rsidP="00327207">
      <w:pPr>
        <w:rPr>
          <w:sz w:val="28"/>
          <w:lang w:val="uk-UA"/>
        </w:rPr>
      </w:pPr>
    </w:p>
    <w:p w:rsidR="0017186C" w:rsidRPr="00327207" w:rsidRDefault="0017186C" w:rsidP="00327207">
      <w:pPr>
        <w:pStyle w:val="ListParagraph"/>
        <w:ind w:left="1800"/>
        <w:rPr>
          <w:sz w:val="28"/>
        </w:rPr>
      </w:pPr>
    </w:p>
    <w:p w:rsidR="0017186C" w:rsidRPr="00057119" w:rsidRDefault="0017186C" w:rsidP="00886524">
      <w:pPr>
        <w:pStyle w:val="ListParagraph"/>
        <w:numPr>
          <w:ilvl w:val="1"/>
          <w:numId w:val="10"/>
        </w:numPr>
        <w:ind w:left="1800"/>
        <w:rPr>
          <w:sz w:val="28"/>
        </w:rPr>
      </w:pPr>
      <w:r>
        <w:rPr>
          <w:b/>
          <w:kern w:val="36"/>
          <w:sz w:val="28"/>
        </w:rPr>
        <w:t xml:space="preserve">. </w:t>
      </w:r>
      <w:r w:rsidRPr="00057119">
        <w:rPr>
          <w:b/>
          <w:kern w:val="36"/>
          <w:sz w:val="28"/>
        </w:rPr>
        <w:t>Структурно-логічна схема ОП</w:t>
      </w:r>
    </w:p>
    <w:p w:rsidR="0017186C" w:rsidRDefault="0017186C" w:rsidP="00886524">
      <w:pPr>
        <w:pStyle w:val="ListParagraph"/>
        <w:ind w:left="180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04"/>
        <w:gridCol w:w="1308"/>
        <w:gridCol w:w="1418"/>
      </w:tblGrid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Назва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дисципліни</w:t>
            </w:r>
          </w:p>
        </w:tc>
        <w:tc>
          <w:tcPr>
            <w:tcW w:w="1308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кредитів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830F5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17186C" w:rsidRPr="00830F5F" w:rsidTr="00830F5F">
        <w:trPr>
          <w:trHeight w:val="454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Теорія і практика вищої професійної освіти в Україні</w:t>
            </w:r>
          </w:p>
        </w:tc>
        <w:tc>
          <w:tcPr>
            <w:tcW w:w="1308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830F5F">
        <w:trPr>
          <w:trHeight w:val="340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Організація та управління навчально-виховним процесом</w:t>
            </w:r>
          </w:p>
        </w:tc>
        <w:tc>
          <w:tcPr>
            <w:tcW w:w="1308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екзамен</w:t>
            </w:r>
          </w:p>
        </w:tc>
      </w:tr>
      <w:tr w:rsidR="0017186C" w:rsidRPr="00830F5F" w:rsidTr="00830F5F">
        <w:trPr>
          <w:trHeight w:val="340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освітньої та професійної підготовки  </w:t>
            </w:r>
          </w:p>
        </w:tc>
        <w:tc>
          <w:tcPr>
            <w:tcW w:w="1308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rPr>
          <w:trHeight w:val="340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у вищій освіті</w:t>
            </w:r>
          </w:p>
        </w:tc>
        <w:tc>
          <w:tcPr>
            <w:tcW w:w="1308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rPr>
          <w:trHeight w:val="340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Дидактичні системи у вищій освіті</w:t>
            </w:r>
          </w:p>
        </w:tc>
        <w:tc>
          <w:tcPr>
            <w:tcW w:w="1308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830F5F">
        <w:trPr>
          <w:trHeight w:val="307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0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308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830F5F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Педагогічна та професійна психологія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4,0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освітньої та професійної підготовки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3,0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rPr>
                <w:bCs/>
                <w:lang w:eastAsia="uk-UA"/>
              </w:rPr>
            </w:pPr>
            <w:r w:rsidRPr="003E652F">
              <w:t>Педагогічний контроль в системі освіти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6,0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04" w:type="dxa"/>
            <w:vAlign w:val="center"/>
          </w:tcPr>
          <w:p w:rsidR="0017186C" w:rsidRPr="0098035F" w:rsidRDefault="0017186C" w:rsidP="00830F5F">
            <w:pPr>
              <w:pStyle w:val="ListParagraph"/>
              <w:ind w:left="0"/>
            </w:pPr>
            <w:r>
              <w:t>Інформаційні технології в освіті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5,0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04" w:type="dxa"/>
            <w:vAlign w:val="center"/>
          </w:tcPr>
          <w:p w:rsidR="0017186C" w:rsidRDefault="0017186C" w:rsidP="00830F5F">
            <w:pPr>
              <w:pStyle w:val="ListParagraph"/>
              <w:ind w:left="0"/>
            </w:pPr>
            <w:r>
              <w:t>Соціальна та екологічна безпека діяльності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5,0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екзамен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vAlign w:val="bottom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 студента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Психофізіологічний тренінг / Професійна компетентність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3,0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rPr>
                <w:bCs/>
                <w:lang w:eastAsia="uk-UA"/>
              </w:rPr>
            </w:pPr>
            <w:r w:rsidRPr="00E81DA9">
              <w:t>Педагогічна майстерність викладача вищої школи</w:t>
            </w:r>
            <w:r>
              <w:t xml:space="preserve"> /</w:t>
            </w:r>
            <w:r w:rsidRPr="00E81DA9">
              <w:t xml:space="preserve"> </w:t>
            </w:r>
            <w:r>
              <w:t>Технології організації с/р студентів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4,0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rPr>
                <w:bCs/>
                <w:lang w:eastAsia="uk-UA"/>
              </w:rPr>
            </w:pPr>
            <w:r>
              <w:t xml:space="preserve"> Психологія та етика пед. спілкування</w:t>
            </w:r>
            <w:r w:rsidRPr="00521165">
              <w:t xml:space="preserve"> </w:t>
            </w:r>
            <w:r>
              <w:t xml:space="preserve"> / Конфліктологія</w:t>
            </w:r>
            <w:r w:rsidRPr="00521165">
              <w:t>*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pStyle w:val="ListParagraph"/>
              <w:ind w:left="0"/>
              <w:jc w:val="center"/>
              <w:rPr>
                <w:bCs/>
                <w:lang w:eastAsia="uk-UA"/>
              </w:rPr>
            </w:pPr>
            <w:r w:rsidRPr="00830F5F">
              <w:rPr>
                <w:bCs/>
                <w:lang w:eastAsia="uk-UA"/>
              </w:rPr>
              <w:t>4,0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308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rPr>
          <w:trHeight w:val="543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7186C" w:rsidRPr="00830F5F" w:rsidRDefault="0017186C" w:rsidP="00830F5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семестр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Вибір студента 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</w:pP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Методологія та організація  наукових досліджень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Вища освіта та Болонський процес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3.0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Організаційна культура викладача вищої школи</w:t>
            </w: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/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системи управління освіти в Україні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Інноваційні педагогічні технології /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Світовий досвід розвитку вищої школи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lang w:val="uk-UA"/>
              </w:rPr>
            </w:pPr>
            <w:r w:rsidRPr="00830F5F">
              <w:rPr>
                <w:rFonts w:ascii="Times New Roman" w:hAnsi="Times New Roman"/>
                <w:lang w:val="uk-UA"/>
              </w:rPr>
              <w:t>екзамен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медіаграмотності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/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дистанційного навчання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Асистентська практика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Науково-дослідна практика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Дипломне проектування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7.0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04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Державна атестація</w:t>
            </w:r>
          </w:p>
        </w:tc>
        <w:tc>
          <w:tcPr>
            <w:tcW w:w="130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8" w:type="dxa"/>
            <w:vAlign w:val="center"/>
          </w:tcPr>
          <w:p w:rsidR="0017186C" w:rsidRPr="00830F5F" w:rsidRDefault="0017186C" w:rsidP="00830F5F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захист роботи</w:t>
            </w:r>
          </w:p>
        </w:tc>
      </w:tr>
      <w:tr w:rsidR="0017186C" w:rsidRPr="00830F5F" w:rsidTr="00830F5F">
        <w:trPr>
          <w:trHeight w:val="307"/>
        </w:trPr>
        <w:tc>
          <w:tcPr>
            <w:tcW w:w="53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04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308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</w:tcPr>
          <w:p w:rsidR="0017186C" w:rsidRPr="00830F5F" w:rsidRDefault="0017186C" w:rsidP="00830F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86C" w:rsidRDefault="0017186C" w:rsidP="004542E2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4"/>
          <w:szCs w:val="24"/>
          <w:lang w:val="uk-UA"/>
        </w:rPr>
      </w:pPr>
    </w:p>
    <w:p w:rsidR="0017186C" w:rsidRDefault="0017186C" w:rsidP="004542E2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4"/>
          <w:szCs w:val="24"/>
          <w:lang w:val="uk-UA"/>
        </w:rPr>
      </w:pPr>
    </w:p>
    <w:p w:rsidR="0017186C" w:rsidRDefault="0017186C" w:rsidP="004542E2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4"/>
          <w:szCs w:val="24"/>
          <w:lang w:val="uk-UA"/>
        </w:rPr>
      </w:pPr>
    </w:p>
    <w:p w:rsidR="0017186C" w:rsidRDefault="0017186C" w:rsidP="004542E2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4"/>
          <w:szCs w:val="24"/>
          <w:lang w:val="uk-UA"/>
        </w:rPr>
      </w:pPr>
    </w:p>
    <w:p w:rsidR="0017186C" w:rsidRDefault="0017186C" w:rsidP="004542E2">
      <w:pPr>
        <w:spacing w:line="360" w:lineRule="auto"/>
        <w:jc w:val="center"/>
        <w:rPr>
          <w:rFonts w:ascii="Times New Roman" w:hAnsi="Times New Roman"/>
          <w:b/>
          <w:spacing w:val="20"/>
          <w:kern w:val="36"/>
          <w:sz w:val="24"/>
          <w:szCs w:val="24"/>
          <w:lang w:val="uk-UA"/>
        </w:rPr>
      </w:pPr>
    </w:p>
    <w:p w:rsidR="0017186C" w:rsidRPr="00461813" w:rsidRDefault="0017186C" w:rsidP="004542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813">
        <w:rPr>
          <w:rFonts w:ascii="Times New Roman" w:hAnsi="Times New Roman"/>
          <w:b/>
          <w:spacing w:val="20"/>
          <w:kern w:val="36"/>
          <w:sz w:val="24"/>
          <w:szCs w:val="24"/>
        </w:rPr>
        <w:t xml:space="preserve">4. </w:t>
      </w:r>
      <w:r w:rsidRPr="00461813">
        <w:rPr>
          <w:rFonts w:ascii="Times New Roman" w:hAnsi="Times New Roman"/>
          <w:b/>
          <w:sz w:val="24"/>
          <w:szCs w:val="24"/>
        </w:rPr>
        <w:t>ФОРМА АТЕСТАЦІЇ ЗДОБУВАЧІВ ВИЩОЇ ОСВІТИ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7929"/>
      </w:tblGrid>
      <w:tr w:rsidR="0017186C" w:rsidRPr="00830F5F" w:rsidTr="0055584A">
        <w:trPr>
          <w:trHeight w:val="151"/>
        </w:trPr>
        <w:tc>
          <w:tcPr>
            <w:tcW w:w="1823" w:type="dxa"/>
          </w:tcPr>
          <w:p w:rsidR="0017186C" w:rsidRPr="00830F5F" w:rsidRDefault="0017186C" w:rsidP="009867E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929" w:type="dxa"/>
          </w:tcPr>
          <w:p w:rsidR="0017186C" w:rsidRPr="00830F5F" w:rsidRDefault="0017186C" w:rsidP="009867E1">
            <w:pPr>
              <w:pStyle w:val="Default"/>
              <w:jc w:val="both"/>
              <w:rPr>
                <w:lang w:val="uk-UA" w:eastAsia="uk-UA"/>
              </w:rPr>
            </w:pPr>
            <w:r w:rsidRPr="00830F5F">
              <w:rPr>
                <w:lang w:val="uk-UA"/>
              </w:rPr>
              <w:t xml:space="preserve">З метою визначення відповідності рівня засвоєння знань випускників другому (магістерському) освітньому рівню проводиться підсумкова атестація, що передбачає виконання і захист дипломної роботи. </w:t>
            </w:r>
          </w:p>
        </w:tc>
      </w:tr>
      <w:tr w:rsidR="0017186C" w:rsidRPr="00830F5F" w:rsidTr="0055584A">
        <w:trPr>
          <w:trHeight w:val="151"/>
        </w:trPr>
        <w:tc>
          <w:tcPr>
            <w:tcW w:w="1823" w:type="dxa"/>
          </w:tcPr>
          <w:p w:rsidR="0017186C" w:rsidRPr="00830F5F" w:rsidRDefault="0017186C" w:rsidP="009867E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заключної кваліфікаційної роботи за наявності)</w:t>
            </w:r>
          </w:p>
        </w:tc>
        <w:tc>
          <w:tcPr>
            <w:tcW w:w="7929" w:type="dxa"/>
          </w:tcPr>
          <w:p w:rsidR="0017186C" w:rsidRPr="00830F5F" w:rsidRDefault="0017186C" w:rsidP="004542E2">
            <w:pPr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За освітньо-науковою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програмою проводиться публічний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атестаційної (магістерської) роботи. На підставі рішення екзаменаційної комісії особі, яка успішно виконала освітню програму на другому рівні, присуджується ступінь магістра і присвоюється кваліфікація «Викладач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закладів вищої освіти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7186C" w:rsidRDefault="0017186C" w:rsidP="00BF28BA">
      <w:pPr>
        <w:rPr>
          <w:lang w:val="uk-UA"/>
        </w:rPr>
      </w:pPr>
    </w:p>
    <w:p w:rsidR="0017186C" w:rsidRDefault="0017186C" w:rsidP="0069684D">
      <w:pPr>
        <w:rPr>
          <w:rFonts w:ascii="Times New Roman" w:hAnsi="Times New Roman"/>
          <w:b/>
          <w:sz w:val="24"/>
          <w:szCs w:val="24"/>
        </w:rPr>
      </w:pPr>
      <w:r>
        <w:rPr>
          <w:lang w:val="uk-UA"/>
        </w:rPr>
        <w:br w:type="page"/>
      </w:r>
      <w:r w:rsidRPr="00461813">
        <w:rPr>
          <w:rFonts w:ascii="Times New Roman" w:hAnsi="Times New Roman"/>
          <w:b/>
          <w:spacing w:val="20"/>
          <w:kern w:val="36"/>
          <w:sz w:val="24"/>
          <w:szCs w:val="24"/>
        </w:rPr>
        <w:t xml:space="preserve">5. </w:t>
      </w:r>
      <w:r w:rsidRPr="00461813">
        <w:rPr>
          <w:rFonts w:ascii="Times New Roman" w:hAnsi="Times New Roman"/>
          <w:b/>
          <w:sz w:val="24"/>
          <w:szCs w:val="24"/>
        </w:rPr>
        <w:t>МАТРИЦЯ ВІДПОВІДНОСТІ ПРОГРАМНИХ КОМПЕТЕНТНОСТЕЙ</w:t>
      </w:r>
      <w:r w:rsidRPr="00461813">
        <w:rPr>
          <w:rFonts w:ascii="Times New Roman" w:hAnsi="Times New Roman"/>
          <w:b/>
          <w:sz w:val="24"/>
          <w:szCs w:val="24"/>
          <w:lang w:val="uk-UA"/>
        </w:rPr>
        <w:t xml:space="preserve"> ТА РЕЗУЛЬТАТІВ НАВЧАННЯ</w:t>
      </w:r>
      <w:r w:rsidRPr="00461813">
        <w:rPr>
          <w:rFonts w:ascii="Times New Roman" w:hAnsi="Times New Roman"/>
          <w:b/>
          <w:sz w:val="24"/>
          <w:szCs w:val="24"/>
        </w:rPr>
        <w:t xml:space="preserve">КОМПОНЕНТАМ ОСВІТНЬОЇ ПРОГРАМИ </w:t>
      </w:r>
    </w:p>
    <w:p w:rsidR="0017186C" w:rsidRDefault="0017186C" w:rsidP="002F2FD7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2</w:t>
      </w:r>
    </w:p>
    <w:p w:rsidR="0017186C" w:rsidRDefault="0017186C" w:rsidP="002F2F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</w:t>
      </w:r>
    </w:p>
    <w:tbl>
      <w:tblPr>
        <w:tblW w:w="5184" w:type="pct"/>
        <w:tblInd w:w="-176" w:type="dxa"/>
        <w:tblLayout w:type="fixed"/>
        <w:tblLook w:val="00A0"/>
      </w:tblPr>
      <w:tblGrid>
        <w:gridCol w:w="430"/>
        <w:gridCol w:w="3446"/>
        <w:gridCol w:w="418"/>
        <w:gridCol w:w="356"/>
        <w:gridCol w:w="352"/>
        <w:gridCol w:w="351"/>
        <w:gridCol w:w="353"/>
        <w:gridCol w:w="353"/>
        <w:gridCol w:w="435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86"/>
      </w:tblGrid>
      <w:tr w:rsidR="0017186C" w:rsidRPr="00830F5F" w:rsidTr="0068186E">
        <w:trPr>
          <w:trHeight w:val="270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Програмні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 (15-25)</w:t>
            </w:r>
          </w:p>
        </w:tc>
        <w:tc>
          <w:tcPr>
            <w:tcW w:w="131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7186C" w:rsidRPr="00770CFD" w:rsidRDefault="0017186C" w:rsidP="00B55E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</w:p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31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Спеціальні (фахові) компетентності</w:t>
            </w:r>
          </w:p>
        </w:tc>
      </w:tr>
      <w:tr w:rsidR="0017186C" w:rsidRPr="00830F5F" w:rsidTr="0068186E">
        <w:trPr>
          <w:trHeight w:val="270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186C" w:rsidRPr="00770CFD" w:rsidRDefault="0017186C" w:rsidP="00B55E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186C" w:rsidRPr="00770CFD" w:rsidRDefault="0017186C" w:rsidP="00B55E4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186C" w:rsidRPr="00770CFD" w:rsidRDefault="0017186C" w:rsidP="00B55E41">
            <w:pPr>
              <w:suppressAutoHyphens/>
              <w:ind w:lef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7186C" w:rsidRPr="00830F5F" w:rsidTr="0068186E">
        <w:trPr>
          <w:trHeight w:val="499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both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7A3C12" w:rsidRDefault="0017186C" w:rsidP="007A3C12">
            <w:pPr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завдання, категорії педагогіки вищої школи, сучасні методологічні підходи у педагогіці вищої школи.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17186C" w:rsidRPr="00830F5F" w:rsidTr="0068186E">
        <w:trPr>
          <w:trHeight w:val="266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7A3C12" w:rsidRDefault="0017186C" w:rsidP="007A3C12">
            <w:pPr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історичні етапи в розвитку вищої освіти за кордоном і в Україні, тенденції розвитку вищої освіти в сучасній Україні відповідно до вимог Болонського процесу, зміст документів, які регламентують організацію вищої осів в Україні.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518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7A3C12" w:rsidRDefault="0017186C" w:rsidP="007A3C12">
            <w:pPr>
              <w:tabs>
                <w:tab w:val="num" w:pos="426"/>
              </w:tabs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принципи, зміст, методи та організаційні форми навчально-виховної діяльності зі студентами, основи професійної діяльності викладача вищої школи, шляхи формування педагогічної майстерності. 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7A3C12" w:rsidRDefault="0017186C" w:rsidP="007A3C12">
            <w:pPr>
              <w:suppressAutoHyphens/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Знати методи групової роботи, основні  положення теорії спілкування, види, стилі, техніки професійно-педагогічного спіл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кування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7A3C12" w:rsidRDefault="0017186C" w:rsidP="007A3C12">
            <w:pPr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матеріали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навчального та навчально-методичного спрямування, готувати та пров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одити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на високому методологічному, дидактичному та методичному рівнях різні види навчальних занять.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34651F" w:rsidRDefault="0017186C" w:rsidP="007A3C12">
            <w:pPr>
              <w:tabs>
                <w:tab w:val="num" w:pos="426"/>
              </w:tabs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</w:rPr>
              <w:t xml:space="preserve">Створювати методичне забезпечення для організації практики студентів,  реалізувати виховні функції у процесі групової та індивідуальної роботи зі студентами.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446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34651F" w:rsidRDefault="0017186C" w:rsidP="007A3C12">
            <w:pPr>
              <w:tabs>
                <w:tab w:val="num" w:pos="426"/>
              </w:tabs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lang w:val="uk-UA"/>
              </w:rPr>
              <w:t>В</w:t>
            </w:r>
            <w:r w:rsidRPr="00830F5F">
              <w:rPr>
                <w:rFonts w:ascii="Times New Roman" w:hAnsi="Times New Roman"/>
              </w:rPr>
              <w:t xml:space="preserve">икористовувати теоретичні знання й практичні </w:t>
            </w:r>
            <w:r w:rsidRPr="00830F5F">
              <w:rPr>
                <w:rFonts w:ascii="Times New Roman" w:hAnsi="Times New Roman"/>
                <w:lang w:val="uk-UA"/>
              </w:rPr>
              <w:t>вміння</w:t>
            </w:r>
            <w:r w:rsidRPr="00830F5F">
              <w:rPr>
                <w:rFonts w:ascii="Times New Roman" w:hAnsi="Times New Roman"/>
              </w:rPr>
              <w:t xml:space="preserve"> організації та проведення науково-педагогічних досліджень для управління навчально-виховним процесом закладів вищої освіти.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17186C" w:rsidRPr="00830F5F" w:rsidTr="0068186E">
        <w:trPr>
          <w:trHeight w:val="329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34651F" w:rsidRDefault="0017186C" w:rsidP="0034651F">
            <w:pPr>
              <w:suppressAutoHyphens/>
              <w:ind w:left="28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</w:rPr>
              <w:t>Використовувати знання, уміння й навички управління персоналом для організації навчально-виховного процесу закладів вищої освіти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17186C" w:rsidRPr="00830F5F" w:rsidTr="0068186E">
        <w:trPr>
          <w:trHeight w:val="434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jc w:val="center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186C" w:rsidRPr="006F6BD3" w:rsidRDefault="0017186C" w:rsidP="0034651F">
            <w:pPr>
              <w:suppressAutoHyphens/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lang w:val="uk-UA"/>
              </w:rPr>
              <w:t>Використовувати теоретичні знання й практичні навички організації зв’язків з громадськістю та засобами масової інформації для вирішення завдань навчально-виховного процесу закладів вищої освіти.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6520AF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186C" w:rsidRPr="00830F5F" w:rsidTr="0068186E">
        <w:trPr>
          <w:trHeight w:val="350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186C" w:rsidRPr="0034651F" w:rsidRDefault="0017186C" w:rsidP="007A3C12">
            <w:pPr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4651F">
              <w:rPr>
                <w:rFonts w:ascii="Times New Roman" w:hAnsi="Times New Roman"/>
                <w:lang w:val="uk-UA"/>
              </w:rPr>
              <w:t>В</w:t>
            </w:r>
            <w:r w:rsidRPr="0034651F">
              <w:rPr>
                <w:rFonts w:ascii="Times New Roman" w:hAnsi="Times New Roman"/>
              </w:rPr>
              <w:t>олодіти навичками наукового та ділового спілкування (як усного, так і письмового)</w:t>
            </w:r>
            <w:r w:rsidRPr="0034651F">
              <w:rPr>
                <w:rFonts w:ascii="Times New Roman" w:hAnsi="Times New Roman"/>
                <w:lang w:val="uk-UA"/>
              </w:rPr>
              <w:t xml:space="preserve">, використовувати професійну термінологію, володіти засобами медіації.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17186C" w:rsidRPr="00830F5F" w:rsidTr="0068186E">
        <w:trPr>
          <w:trHeight w:val="35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2F2FD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contextualSpacing w:val="0"/>
              <w:rPr>
                <w:lang w:eastAsia="ar-SA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186C" w:rsidRPr="00830F5F" w:rsidRDefault="0017186C" w:rsidP="0034651F">
            <w:pPr>
              <w:ind w:left="28"/>
              <w:contextualSpacing/>
              <w:rPr>
                <w:rFonts w:ascii="Times New Roman" w:hAnsi="Times New Roman"/>
              </w:rPr>
            </w:pPr>
            <w:r w:rsidRPr="00830F5F">
              <w:rPr>
                <w:rFonts w:ascii="Times New Roman" w:hAnsi="Times New Roman"/>
              </w:rPr>
              <w:t xml:space="preserve">Вміти висловлювати власні думки, скласти план повідомлення, структурувати матеріал відповідно до плану, вести діалог. </w:t>
            </w:r>
          </w:p>
          <w:p w:rsidR="0017186C" w:rsidRPr="00830F5F" w:rsidRDefault="0017186C" w:rsidP="0034651F">
            <w:pPr>
              <w:ind w:left="28"/>
              <w:contextualSpacing/>
              <w:rPr>
                <w:rFonts w:ascii="Times New Roman" w:hAnsi="Times New Roman"/>
              </w:rPr>
            </w:pPr>
            <w:r w:rsidRPr="00830F5F">
              <w:rPr>
                <w:rFonts w:ascii="Times New Roman" w:hAnsi="Times New Roman"/>
              </w:rPr>
              <w:t xml:space="preserve">Уміти користуватися засобами електронної комунікації,  добирати інформацію з теми, шукати інформацію в Інтернеті, використовувати засоби електронної комунікації. </w:t>
            </w:r>
          </w:p>
          <w:p w:rsidR="0017186C" w:rsidRPr="0034651F" w:rsidRDefault="0017186C" w:rsidP="0034651F">
            <w:pPr>
              <w:suppressAutoHyphens/>
              <w:ind w:left="28"/>
              <w:contextualSpacing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186C" w:rsidRPr="00770CFD" w:rsidRDefault="0017186C" w:rsidP="00B55E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30F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</w:tbl>
    <w:p w:rsidR="0017186C" w:rsidRDefault="0017186C" w:rsidP="00BF28BA">
      <w:pPr>
        <w:rPr>
          <w:lang w:val="uk-UA"/>
        </w:rPr>
      </w:pPr>
    </w:p>
    <w:p w:rsidR="0017186C" w:rsidRDefault="0017186C">
      <w:pPr>
        <w:rPr>
          <w:lang w:val="uk-UA"/>
        </w:rPr>
      </w:pPr>
      <w:r>
        <w:rPr>
          <w:lang w:val="uk-UA"/>
        </w:rPr>
        <w:br w:type="page"/>
      </w:r>
    </w:p>
    <w:p w:rsidR="0017186C" w:rsidRDefault="0017186C" w:rsidP="002823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17186C" w:rsidRPr="00E13889" w:rsidRDefault="0017186C" w:rsidP="002823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  <w:lang w:val="uk-UA"/>
        </w:rPr>
      </w:pPr>
      <w:r w:rsidRPr="00E13889">
        <w:rPr>
          <w:rFonts w:ascii="Times New Roman" w:hAnsi="Times New Roman"/>
          <w:sz w:val="28"/>
          <w:szCs w:val="24"/>
          <w:lang w:val="uk-UA"/>
        </w:rPr>
        <w:t>Компетентності випускника спеціалізації «</w:t>
      </w:r>
      <w:r>
        <w:rPr>
          <w:rFonts w:ascii="Times New Roman" w:hAnsi="Times New Roman"/>
          <w:sz w:val="28"/>
          <w:szCs w:val="24"/>
          <w:lang w:val="uk-UA"/>
        </w:rPr>
        <w:t>Педагогіка вищої школи</w:t>
      </w:r>
      <w:r w:rsidRPr="00E13889">
        <w:rPr>
          <w:rFonts w:ascii="Times New Roman" w:hAnsi="Times New Roman"/>
          <w:sz w:val="28"/>
          <w:szCs w:val="24"/>
          <w:lang w:val="uk-UA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421"/>
        <w:gridCol w:w="3402"/>
        <w:gridCol w:w="4394"/>
      </w:tblGrid>
      <w:tr w:rsidR="0017186C" w:rsidRPr="00830F5F" w:rsidTr="00830F5F">
        <w:tc>
          <w:tcPr>
            <w:tcW w:w="530" w:type="dxa"/>
            <w:vAlign w:val="center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  <w:vAlign w:val="center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Шифр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402" w:type="dxa"/>
            <w:vAlign w:val="center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Сутність компетентності</w:t>
            </w:r>
          </w:p>
        </w:tc>
        <w:tc>
          <w:tcPr>
            <w:tcW w:w="4394" w:type="dxa"/>
            <w:vAlign w:val="center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Дисципліни, що забезпечують формування компетентності</w:t>
            </w:r>
          </w:p>
        </w:tc>
      </w:tr>
      <w:tr w:rsidR="0017186C" w:rsidRPr="00830F5F" w:rsidTr="00830F5F">
        <w:tc>
          <w:tcPr>
            <w:tcW w:w="9747" w:type="dxa"/>
            <w:gridSpan w:val="4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1.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ситуаціях.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Тренінгова діяльність в освіті</w:t>
            </w:r>
            <w:bookmarkStart w:id="0" w:name="OLE_LINK25"/>
            <w:bookmarkStart w:id="1" w:name="OLE_LINK26"/>
            <w:bookmarkStart w:id="2" w:name="OLE_LINK27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Педагогічний контроль в системі освіти</w:t>
            </w:r>
            <w:bookmarkEnd w:id="0"/>
            <w:bookmarkEnd w:id="1"/>
            <w:bookmarkEnd w:id="2"/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OLE_LINK28"/>
            <w:bookmarkStart w:id="4" w:name="OLE_LINK29"/>
            <w:bookmarkStart w:id="5" w:name="OLE_LINK30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в освіті</w:t>
            </w:r>
            <w:bookmarkEnd w:id="3"/>
            <w:bookmarkEnd w:id="4"/>
            <w:bookmarkEnd w:id="5"/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2.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професії.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OLE_LINK31"/>
            <w:bookmarkStart w:id="7" w:name="OLE_LINK32"/>
            <w:bookmarkStart w:id="8" w:name="OLE_LINK33"/>
            <w:r w:rsidRPr="00830F5F">
              <w:rPr>
                <w:rFonts w:ascii="Times New Roman" w:hAnsi="Times New Roman"/>
                <w:sz w:val="24"/>
                <w:szCs w:val="24"/>
              </w:rPr>
              <w:t>Теорія і практика вищої професійної освіти в Україні</w:t>
            </w:r>
            <w:bookmarkStart w:id="9" w:name="OLE_LINK34"/>
            <w:bookmarkStart w:id="10" w:name="OLE_LINK35"/>
            <w:bookmarkStart w:id="11" w:name="OLE_LINK36"/>
            <w:bookmarkEnd w:id="6"/>
            <w:bookmarkEnd w:id="7"/>
            <w:bookmarkEnd w:id="8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та професійна психологія</w:t>
            </w:r>
            <w:bookmarkStart w:id="12" w:name="OLE_LINK55"/>
            <w:bookmarkStart w:id="13" w:name="OLE_LINK56"/>
            <w:bookmarkStart w:id="14" w:name="OLE_LINK57"/>
            <w:bookmarkEnd w:id="9"/>
            <w:bookmarkEnd w:id="10"/>
            <w:bookmarkEnd w:id="11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Дидактичні системи у вищій освіті</w:t>
            </w:r>
            <w:bookmarkEnd w:id="12"/>
            <w:bookmarkEnd w:id="13"/>
            <w:bookmarkEnd w:id="14"/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3.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OLE_LINK37"/>
            <w:bookmarkStart w:id="16" w:name="OLE_LINK38"/>
            <w:bookmarkStart w:id="17" w:name="OLE_LINK39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 наукових досліджень</w:t>
            </w:r>
            <w:bookmarkStart w:id="18" w:name="OLE_LINK40"/>
            <w:bookmarkStart w:id="19" w:name="OLE_LINK41"/>
            <w:bookmarkStart w:id="20" w:name="OLE_LINK42"/>
            <w:bookmarkEnd w:id="15"/>
            <w:bookmarkEnd w:id="16"/>
            <w:bookmarkEnd w:id="17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у вищій освіті</w:t>
            </w:r>
            <w:bookmarkEnd w:id="18"/>
            <w:bookmarkEnd w:id="19"/>
            <w:bookmarkEnd w:id="20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Інноваційні педагогічні технології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4.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Маркетингові комунікації в професійній діяльності викладача закладу вищої освіти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 в освіті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 освітнього відео-контенту</w:t>
            </w:r>
            <w:bookmarkStart w:id="21" w:name="OLE_LINK43"/>
            <w:bookmarkStart w:id="22" w:name="OLE_LINK44"/>
            <w:bookmarkStart w:id="23" w:name="OLE_LINK45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End w:id="21"/>
            <w:bookmarkEnd w:id="22"/>
            <w:bookmarkEnd w:id="23"/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5.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до адаптації та дії в новій ситуації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професійної компетентності майбутніх фахівців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компетентність викладача вищої школи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6.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генерувати нові ідеї (креативність)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OLE_LINK46"/>
            <w:bookmarkStart w:id="25" w:name="OLE_LINK47"/>
            <w:bookmarkStart w:id="26" w:name="OLE_LINK48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закладу освіти у сфері зв'язків з громадськістю</w:t>
            </w:r>
            <w:bookmarkEnd w:id="24"/>
            <w:bookmarkEnd w:id="25"/>
            <w:bookmarkEnd w:id="26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Основи медіаграмотності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7.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виявляти, ставити та вирішувати проблеми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управління навчально-виховним процесом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діяльності фахівця  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8.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Навички міжособистісної взаємодії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Протидія домашньому насильству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освітньої та професійної підготовки фахівця</w:t>
            </w:r>
            <w:bookmarkStart w:id="27" w:name="OLE_LINK52"/>
            <w:bookmarkStart w:id="28" w:name="OLE_LINK53"/>
            <w:bookmarkStart w:id="29" w:name="OLE_LINK54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Ділова українська мова</w:t>
            </w:r>
            <w:bookmarkEnd w:id="27"/>
            <w:bookmarkEnd w:id="28"/>
            <w:bookmarkEnd w:id="29"/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9.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Толерантність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повага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 xml:space="preserve"> різноманітності 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думок </w:t>
            </w:r>
            <w:r w:rsidRPr="00830F5F">
              <w:rPr>
                <w:rFonts w:ascii="Times New Roman" w:hAnsi="Times New Roman"/>
                <w:sz w:val="24"/>
                <w:szCs w:val="24"/>
              </w:rPr>
              <w:t>та мультикультурності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OLE_LINK49"/>
            <w:bookmarkStart w:id="31" w:name="OLE_LINK50"/>
            <w:bookmarkStart w:id="32" w:name="OLE_LINK51"/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майстерність викладача вищої школи</w:t>
            </w:r>
            <w:bookmarkEnd w:id="30"/>
            <w:bookmarkEnd w:id="31"/>
            <w:bookmarkEnd w:id="32"/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10.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працювати автономно і в міжнародному контексті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професійної компетентності майбутніх фахівців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компетентність викладача вищої школи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ЗК 11.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розробляти та управляти проектами.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Маркетингові комунікації в професійній діяльності викладача закладу вищої освіти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 в освіті </w:t>
            </w:r>
          </w:p>
        </w:tc>
      </w:tr>
      <w:tr w:rsidR="0017186C" w:rsidRPr="00830F5F" w:rsidTr="00830F5F">
        <w:tc>
          <w:tcPr>
            <w:tcW w:w="9747" w:type="dxa"/>
            <w:gridSpan w:val="4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Професійні (спеціально-фахові) компетентності спеціальності (ПК)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1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проектувати і реалізувати зміст освіти, зміст навчання, індивідуальні освітні траєкторії за рівнями Національної рамки кваліфікацій.</w:t>
            </w:r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Теорія і практика вищої професійної освіти в Україні</w:t>
            </w: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Маркетингові комунікації в професійній діяльності викладача закладу вищої освіти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Маркетинг в освіті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освітньої та професійної підготовки фахівця 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2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OLE_LINK4"/>
            <w:bookmarkStart w:id="34" w:name="OLE_LINK5"/>
            <w:bookmarkStart w:id="35" w:name="OLE_LINK6"/>
            <w:bookmarkStart w:id="36" w:name="OLE_LINK1"/>
            <w:bookmarkStart w:id="37" w:name="OLE_LINK2"/>
            <w:bookmarkStart w:id="38" w:name="OLE_LINK3"/>
            <w:r w:rsidRPr="00830F5F">
              <w:rPr>
                <w:rFonts w:ascii="Times New Roman" w:hAnsi="Times New Roman"/>
                <w:sz w:val="24"/>
                <w:szCs w:val="24"/>
              </w:rPr>
              <w:t>Здатність до створення освітнього середовища, що забезпечує якість освіти.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Системний підхід у вищій освіті Інноваційні педагогічні технології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Дидактичні системи у вищій освіті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3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OLE_LINK7"/>
            <w:bookmarkStart w:id="40" w:name="OLE_LINK8"/>
            <w:bookmarkStart w:id="41" w:name="OLE_LINK9"/>
            <w:r w:rsidRPr="00830F5F">
              <w:rPr>
                <w:rFonts w:ascii="Times New Roman" w:hAnsi="Times New Roman"/>
                <w:sz w:val="24"/>
                <w:szCs w:val="24"/>
              </w:rPr>
              <w:t>Здатність застосовувати інноваційні педагогічні технології з урахуванням особливостей підготовки фахівців за різними спеціальностями.</w:t>
            </w:r>
            <w:bookmarkEnd w:id="39"/>
            <w:bookmarkEnd w:id="40"/>
            <w:bookmarkEnd w:id="41"/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Інноваційні педагогічні технології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Дидактичні системи у вищій освіті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Діяльність закладу освіти у сфері зв'язків з громадськістю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Основи медіаграмотності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4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Здатність будувати ефективну комунікативну взаємодію із суб’єктами освітнього процесу.</w:t>
            </w:r>
            <w:bookmarkStart w:id="42" w:name="OLE_LINK19"/>
            <w:bookmarkStart w:id="43" w:name="OLE_LINK20"/>
            <w:bookmarkStart w:id="44" w:name="OLE_LINK21"/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Здатність забезпечувати міжпредметні зв’язки.</w:t>
            </w:r>
            <w:bookmarkEnd w:id="42"/>
            <w:bookmarkEnd w:id="43"/>
            <w:bookmarkEnd w:id="44"/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професійної компетентності майбутніх фахівців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компетентність викладача вищої школи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5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OLE_LINK13"/>
            <w:bookmarkStart w:id="46" w:name="OLE_LINK14"/>
            <w:bookmarkStart w:id="47" w:name="OLE_LINK15"/>
            <w:r w:rsidRPr="00830F5F">
              <w:rPr>
                <w:rFonts w:ascii="Times New Roman" w:hAnsi="Times New Roman"/>
                <w:sz w:val="24"/>
                <w:szCs w:val="24"/>
              </w:rPr>
              <w:t>Здатність створювати просвітницькі програми популяризації освіти, науки та культури.</w:t>
            </w:r>
            <w:bookmarkEnd w:id="45"/>
            <w:bookmarkEnd w:id="46"/>
            <w:bookmarkEnd w:id="47"/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Основи медіаграмотності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</w:rPr>
              <w:t>Тренінгова діяльність в освіті</w:t>
            </w:r>
          </w:p>
        </w:tc>
      </w:tr>
      <w:tr w:rsidR="0017186C" w:rsidRPr="00830F5F" w:rsidTr="00830F5F">
        <w:tc>
          <w:tcPr>
            <w:tcW w:w="530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ПК 6</w:t>
            </w:r>
          </w:p>
        </w:tc>
        <w:tc>
          <w:tcPr>
            <w:tcW w:w="3402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OLE_LINK16"/>
            <w:bookmarkStart w:id="49" w:name="OLE_LINK17"/>
            <w:bookmarkStart w:id="50" w:name="OLE_LINK18"/>
            <w:r w:rsidRPr="00830F5F">
              <w:rPr>
                <w:rFonts w:ascii="Times New Roman" w:hAnsi="Times New Roman"/>
                <w:sz w:val="24"/>
                <w:szCs w:val="24"/>
              </w:rPr>
              <w:t>Здатність розробляти комплексне навчально- методичне забезпечення навчальної дисципліни.</w:t>
            </w:r>
            <w:bookmarkStart w:id="51" w:name="OLE_LINK22"/>
            <w:bookmarkStart w:id="52" w:name="OLE_LINK23"/>
            <w:bookmarkStart w:id="53" w:name="OLE_LINK24"/>
            <w:bookmarkEnd w:id="48"/>
            <w:bookmarkEnd w:id="49"/>
            <w:bookmarkEnd w:id="50"/>
            <w:r w:rsidRPr="00830F5F">
              <w:rPr>
                <w:rFonts w:ascii="Times New Roman" w:hAnsi="Times New Roman"/>
                <w:sz w:val="24"/>
                <w:szCs w:val="24"/>
              </w:rPr>
              <w:t xml:space="preserve"> Здатність планувати і проводити теоретичні та емпіричні дослідження у сфері освіти.</w:t>
            </w:r>
            <w:bookmarkEnd w:id="51"/>
            <w:bookmarkEnd w:id="52"/>
            <w:bookmarkEnd w:id="53"/>
          </w:p>
        </w:tc>
        <w:tc>
          <w:tcPr>
            <w:tcW w:w="4394" w:type="dxa"/>
          </w:tcPr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освітньої та професійної підготовки фахівця </w:t>
            </w:r>
          </w:p>
          <w:p w:rsidR="0017186C" w:rsidRPr="00830F5F" w:rsidRDefault="0017186C" w:rsidP="0083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F5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майстерність викладача вищої школи</w:t>
            </w:r>
          </w:p>
        </w:tc>
      </w:tr>
    </w:tbl>
    <w:p w:rsidR="0017186C" w:rsidRDefault="0017186C" w:rsidP="002823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17186C" w:rsidRPr="00F0070B" w:rsidRDefault="0017186C" w:rsidP="002823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186C" w:rsidRDefault="0017186C" w:rsidP="002823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Матриця відповідності визначених Стандартом компетентностей дескрипторам НРК</w:t>
      </w:r>
    </w:p>
    <w:p w:rsidR="0017186C" w:rsidRPr="00BF18A1" w:rsidRDefault="0017186C" w:rsidP="0028235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532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2"/>
        <w:gridCol w:w="1417"/>
        <w:gridCol w:w="1276"/>
        <w:gridCol w:w="1985"/>
        <w:gridCol w:w="2482"/>
      </w:tblGrid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  <w:vAlign w:val="center"/>
          </w:tcPr>
          <w:p w:rsidR="0017186C" w:rsidRPr="00830F5F" w:rsidRDefault="0017186C" w:rsidP="00B55E41">
            <w:pPr>
              <w:tabs>
                <w:tab w:val="left" w:pos="2123"/>
              </w:tabs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Класифікація компетентностей за НРК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17186C" w:rsidRPr="00830F5F" w:rsidRDefault="0017186C" w:rsidP="00B5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Знання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17186C" w:rsidRPr="00830F5F" w:rsidRDefault="0017186C" w:rsidP="00B5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Уміння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17186C" w:rsidRPr="00830F5F" w:rsidRDefault="0017186C" w:rsidP="00B5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Комунікація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17186C" w:rsidRPr="00830F5F" w:rsidRDefault="0017186C" w:rsidP="00B55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Автономія та відповідальність</w:t>
            </w:r>
          </w:p>
        </w:tc>
      </w:tr>
      <w:tr w:rsidR="0017186C" w:rsidRPr="00830F5F" w:rsidTr="00B55E41">
        <w:trPr>
          <w:jc w:val="center"/>
        </w:trPr>
        <w:tc>
          <w:tcPr>
            <w:tcW w:w="9532" w:type="dxa"/>
            <w:gridSpan w:val="5"/>
            <w:shd w:val="clear" w:color="auto" w:fill="EEECE1"/>
          </w:tcPr>
          <w:p w:rsidR="0017186C" w:rsidRPr="00830F5F" w:rsidRDefault="0017186C" w:rsidP="00B55E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Загальнікомпетентності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ЗК-2.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ЗК-3.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ЗК-4.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17186C" w:rsidRPr="00830F5F" w:rsidTr="00B55E41">
        <w:trPr>
          <w:jc w:val="center"/>
        </w:trPr>
        <w:tc>
          <w:tcPr>
            <w:tcW w:w="2372" w:type="dxa"/>
            <w:shd w:val="clear" w:color="auto" w:fill="EEECE1"/>
          </w:tcPr>
          <w:p w:rsidR="0017186C" w:rsidRPr="00830F5F" w:rsidRDefault="0017186C" w:rsidP="00B55E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ЗК-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830F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17186C" w:rsidRPr="00830F5F" w:rsidRDefault="0017186C" w:rsidP="00B55E41">
            <w:pPr>
              <w:ind w:right="-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5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17186C" w:rsidRPr="004542E2" w:rsidRDefault="0017186C" w:rsidP="00BF28BA">
      <w:pPr>
        <w:rPr>
          <w:lang w:val="uk-UA"/>
        </w:rPr>
      </w:pPr>
    </w:p>
    <w:sectPr w:rsidR="0017186C" w:rsidRPr="004542E2" w:rsidSect="001A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468"/>
    <w:multiLevelType w:val="hybridMultilevel"/>
    <w:tmpl w:val="AE8A9086"/>
    <w:lvl w:ilvl="0" w:tplc="FBD0F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37DAF"/>
    <w:multiLevelType w:val="multilevel"/>
    <w:tmpl w:val="EA02F53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  <w:b/>
      </w:rPr>
    </w:lvl>
  </w:abstractNum>
  <w:abstractNum w:abstractNumId="2">
    <w:nsid w:val="38402125"/>
    <w:multiLevelType w:val="hybridMultilevel"/>
    <w:tmpl w:val="DEC8251C"/>
    <w:lvl w:ilvl="0" w:tplc="D8642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EA6140"/>
    <w:multiLevelType w:val="hybridMultilevel"/>
    <w:tmpl w:val="407C344E"/>
    <w:lvl w:ilvl="0" w:tplc="D8642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F06CE"/>
    <w:multiLevelType w:val="hybridMultilevel"/>
    <w:tmpl w:val="A75CE9C0"/>
    <w:lvl w:ilvl="0" w:tplc="D8642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F47DD"/>
    <w:multiLevelType w:val="hybridMultilevel"/>
    <w:tmpl w:val="A75CE9C0"/>
    <w:lvl w:ilvl="0" w:tplc="D8642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5854"/>
    <w:multiLevelType w:val="multilevel"/>
    <w:tmpl w:val="4510C20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8">
    <w:nsid w:val="5FCE34C7"/>
    <w:multiLevelType w:val="multilevel"/>
    <w:tmpl w:val="D5E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735B"/>
    <w:multiLevelType w:val="hybridMultilevel"/>
    <w:tmpl w:val="657A9358"/>
    <w:lvl w:ilvl="0" w:tplc="18480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378FE"/>
    <w:multiLevelType w:val="hybridMultilevel"/>
    <w:tmpl w:val="5520325A"/>
    <w:lvl w:ilvl="0" w:tplc="A028B6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2D"/>
    <w:rsid w:val="00020FF5"/>
    <w:rsid w:val="000265F6"/>
    <w:rsid w:val="00037FD3"/>
    <w:rsid w:val="000422CF"/>
    <w:rsid w:val="00045184"/>
    <w:rsid w:val="00057119"/>
    <w:rsid w:val="00062283"/>
    <w:rsid w:val="000742A6"/>
    <w:rsid w:val="000843DE"/>
    <w:rsid w:val="000A433E"/>
    <w:rsid w:val="000A71FB"/>
    <w:rsid w:val="000B211A"/>
    <w:rsid w:val="000B46A3"/>
    <w:rsid w:val="000D7E76"/>
    <w:rsid w:val="000E0410"/>
    <w:rsid w:val="000E1EB1"/>
    <w:rsid w:val="000F2200"/>
    <w:rsid w:val="000F5953"/>
    <w:rsid w:val="001214DD"/>
    <w:rsid w:val="00136E05"/>
    <w:rsid w:val="0014298B"/>
    <w:rsid w:val="001463D9"/>
    <w:rsid w:val="001466AB"/>
    <w:rsid w:val="00157A03"/>
    <w:rsid w:val="0017186C"/>
    <w:rsid w:val="001929EF"/>
    <w:rsid w:val="00195D88"/>
    <w:rsid w:val="00197CCA"/>
    <w:rsid w:val="001A57A7"/>
    <w:rsid w:val="001A76D0"/>
    <w:rsid w:val="001B3790"/>
    <w:rsid w:val="001B4259"/>
    <w:rsid w:val="001B7066"/>
    <w:rsid w:val="001C1095"/>
    <w:rsid w:val="001C29C1"/>
    <w:rsid w:val="001D27F7"/>
    <w:rsid w:val="001F308E"/>
    <w:rsid w:val="00233F4F"/>
    <w:rsid w:val="00246224"/>
    <w:rsid w:val="002473FE"/>
    <w:rsid w:val="0025658F"/>
    <w:rsid w:val="00264642"/>
    <w:rsid w:val="00270907"/>
    <w:rsid w:val="00277ED7"/>
    <w:rsid w:val="00282357"/>
    <w:rsid w:val="00283BD8"/>
    <w:rsid w:val="00285135"/>
    <w:rsid w:val="00296752"/>
    <w:rsid w:val="002A325C"/>
    <w:rsid w:val="002A71F7"/>
    <w:rsid w:val="002C29C5"/>
    <w:rsid w:val="002C4695"/>
    <w:rsid w:val="002E4D80"/>
    <w:rsid w:val="002F2FD7"/>
    <w:rsid w:val="00301B3C"/>
    <w:rsid w:val="00306F1A"/>
    <w:rsid w:val="003136F0"/>
    <w:rsid w:val="00327207"/>
    <w:rsid w:val="003308F8"/>
    <w:rsid w:val="0034651F"/>
    <w:rsid w:val="00371129"/>
    <w:rsid w:val="0037594A"/>
    <w:rsid w:val="00387204"/>
    <w:rsid w:val="00392091"/>
    <w:rsid w:val="003C3083"/>
    <w:rsid w:val="003C59D5"/>
    <w:rsid w:val="003E371D"/>
    <w:rsid w:val="003E652F"/>
    <w:rsid w:val="00401F88"/>
    <w:rsid w:val="0040236E"/>
    <w:rsid w:val="00403B2B"/>
    <w:rsid w:val="00441F86"/>
    <w:rsid w:val="004542E2"/>
    <w:rsid w:val="00456E04"/>
    <w:rsid w:val="00461813"/>
    <w:rsid w:val="004636A8"/>
    <w:rsid w:val="00467FED"/>
    <w:rsid w:val="004714EC"/>
    <w:rsid w:val="00472CC4"/>
    <w:rsid w:val="004812C6"/>
    <w:rsid w:val="00482E6A"/>
    <w:rsid w:val="00487A8B"/>
    <w:rsid w:val="004916F8"/>
    <w:rsid w:val="004B202C"/>
    <w:rsid w:val="004B5E09"/>
    <w:rsid w:val="004B6E13"/>
    <w:rsid w:val="004E4EFE"/>
    <w:rsid w:val="004F2841"/>
    <w:rsid w:val="00506830"/>
    <w:rsid w:val="00513DB3"/>
    <w:rsid w:val="00521165"/>
    <w:rsid w:val="005373E5"/>
    <w:rsid w:val="00544111"/>
    <w:rsid w:val="0055584A"/>
    <w:rsid w:val="005626EE"/>
    <w:rsid w:val="005724E4"/>
    <w:rsid w:val="005842A0"/>
    <w:rsid w:val="005A3986"/>
    <w:rsid w:val="005A4BBA"/>
    <w:rsid w:val="005A5D23"/>
    <w:rsid w:val="005D07B4"/>
    <w:rsid w:val="005E6DDA"/>
    <w:rsid w:val="005F0AE1"/>
    <w:rsid w:val="006520AF"/>
    <w:rsid w:val="00654195"/>
    <w:rsid w:val="00676FF0"/>
    <w:rsid w:val="00680626"/>
    <w:rsid w:val="0068186E"/>
    <w:rsid w:val="006842DE"/>
    <w:rsid w:val="0069382E"/>
    <w:rsid w:val="0069684D"/>
    <w:rsid w:val="006C10D5"/>
    <w:rsid w:val="006E1561"/>
    <w:rsid w:val="006F22A2"/>
    <w:rsid w:val="006F6BD3"/>
    <w:rsid w:val="0076240F"/>
    <w:rsid w:val="00770CFD"/>
    <w:rsid w:val="00774906"/>
    <w:rsid w:val="00774EBC"/>
    <w:rsid w:val="007777A2"/>
    <w:rsid w:val="007A3C12"/>
    <w:rsid w:val="007B4570"/>
    <w:rsid w:val="007F329F"/>
    <w:rsid w:val="0080318E"/>
    <w:rsid w:val="00805BA4"/>
    <w:rsid w:val="00816494"/>
    <w:rsid w:val="00830F5F"/>
    <w:rsid w:val="00832740"/>
    <w:rsid w:val="008339E0"/>
    <w:rsid w:val="008410C6"/>
    <w:rsid w:val="0084723A"/>
    <w:rsid w:val="0085493C"/>
    <w:rsid w:val="00856833"/>
    <w:rsid w:val="00860A41"/>
    <w:rsid w:val="00867255"/>
    <w:rsid w:val="00875E75"/>
    <w:rsid w:val="008822CC"/>
    <w:rsid w:val="00886524"/>
    <w:rsid w:val="00890046"/>
    <w:rsid w:val="008A256F"/>
    <w:rsid w:val="008A68C9"/>
    <w:rsid w:val="008E7DA1"/>
    <w:rsid w:val="009054B9"/>
    <w:rsid w:val="009055E8"/>
    <w:rsid w:val="00914E2D"/>
    <w:rsid w:val="009164F5"/>
    <w:rsid w:val="00916B23"/>
    <w:rsid w:val="00920EFB"/>
    <w:rsid w:val="009762B4"/>
    <w:rsid w:val="0098035F"/>
    <w:rsid w:val="009833F5"/>
    <w:rsid w:val="009867E1"/>
    <w:rsid w:val="0099796B"/>
    <w:rsid w:val="009A68CC"/>
    <w:rsid w:val="009A7B92"/>
    <w:rsid w:val="009B74F9"/>
    <w:rsid w:val="009C411A"/>
    <w:rsid w:val="009D35E8"/>
    <w:rsid w:val="009D3E5C"/>
    <w:rsid w:val="009F234A"/>
    <w:rsid w:val="00A102F3"/>
    <w:rsid w:val="00A13352"/>
    <w:rsid w:val="00A229F3"/>
    <w:rsid w:val="00A349C6"/>
    <w:rsid w:val="00A366F7"/>
    <w:rsid w:val="00A51948"/>
    <w:rsid w:val="00A6634C"/>
    <w:rsid w:val="00A73051"/>
    <w:rsid w:val="00A96211"/>
    <w:rsid w:val="00AA00BC"/>
    <w:rsid w:val="00AA6757"/>
    <w:rsid w:val="00AC6FA6"/>
    <w:rsid w:val="00AD6B22"/>
    <w:rsid w:val="00B03C4E"/>
    <w:rsid w:val="00B159EA"/>
    <w:rsid w:val="00B227C2"/>
    <w:rsid w:val="00B27455"/>
    <w:rsid w:val="00B55E41"/>
    <w:rsid w:val="00B63085"/>
    <w:rsid w:val="00B80FF8"/>
    <w:rsid w:val="00B8262E"/>
    <w:rsid w:val="00BC0540"/>
    <w:rsid w:val="00BC4535"/>
    <w:rsid w:val="00BD2756"/>
    <w:rsid w:val="00BD31AB"/>
    <w:rsid w:val="00BF08BF"/>
    <w:rsid w:val="00BF18A1"/>
    <w:rsid w:val="00BF28BA"/>
    <w:rsid w:val="00C01774"/>
    <w:rsid w:val="00C05B9A"/>
    <w:rsid w:val="00C07F9E"/>
    <w:rsid w:val="00C10CF6"/>
    <w:rsid w:val="00C12924"/>
    <w:rsid w:val="00C20CFC"/>
    <w:rsid w:val="00C3352B"/>
    <w:rsid w:val="00C41171"/>
    <w:rsid w:val="00C517DB"/>
    <w:rsid w:val="00C52A0D"/>
    <w:rsid w:val="00C55ADF"/>
    <w:rsid w:val="00C639E5"/>
    <w:rsid w:val="00C70E3F"/>
    <w:rsid w:val="00C80B48"/>
    <w:rsid w:val="00CA513F"/>
    <w:rsid w:val="00CA5922"/>
    <w:rsid w:val="00CA6900"/>
    <w:rsid w:val="00CE115D"/>
    <w:rsid w:val="00D20078"/>
    <w:rsid w:val="00D20EC9"/>
    <w:rsid w:val="00D35C2D"/>
    <w:rsid w:val="00D451A8"/>
    <w:rsid w:val="00D45752"/>
    <w:rsid w:val="00D46101"/>
    <w:rsid w:val="00D76D28"/>
    <w:rsid w:val="00D85A9F"/>
    <w:rsid w:val="00D8672E"/>
    <w:rsid w:val="00D955C0"/>
    <w:rsid w:val="00DA0F3C"/>
    <w:rsid w:val="00DA7FD9"/>
    <w:rsid w:val="00DD7518"/>
    <w:rsid w:val="00DD7C5E"/>
    <w:rsid w:val="00DE7CEF"/>
    <w:rsid w:val="00DF2912"/>
    <w:rsid w:val="00DF525C"/>
    <w:rsid w:val="00E13889"/>
    <w:rsid w:val="00E16731"/>
    <w:rsid w:val="00E2339E"/>
    <w:rsid w:val="00E35E84"/>
    <w:rsid w:val="00E75776"/>
    <w:rsid w:val="00E81DA9"/>
    <w:rsid w:val="00E96910"/>
    <w:rsid w:val="00E97DEB"/>
    <w:rsid w:val="00EB4F8E"/>
    <w:rsid w:val="00ED0814"/>
    <w:rsid w:val="00EE6C1F"/>
    <w:rsid w:val="00EF06B7"/>
    <w:rsid w:val="00EF2289"/>
    <w:rsid w:val="00F0070B"/>
    <w:rsid w:val="00F16655"/>
    <w:rsid w:val="00F310D7"/>
    <w:rsid w:val="00F414C9"/>
    <w:rsid w:val="00F54A51"/>
    <w:rsid w:val="00F61843"/>
    <w:rsid w:val="00F6512F"/>
    <w:rsid w:val="00F662FB"/>
    <w:rsid w:val="00F66E77"/>
    <w:rsid w:val="00F7562E"/>
    <w:rsid w:val="00F93EBB"/>
    <w:rsid w:val="00FE2F94"/>
    <w:rsid w:val="00FE507C"/>
    <w:rsid w:val="00FF196C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C3083"/>
    <w:pPr>
      <w:jc w:val="both"/>
    </w:pPr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C3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5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B5E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81649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843DE"/>
    <w:rPr>
      <w:rFonts w:cs="Times New Roman"/>
    </w:rPr>
  </w:style>
  <w:style w:type="character" w:customStyle="1" w:styleId="FontStyle156">
    <w:name w:val="Font Style156"/>
    <w:uiPriority w:val="99"/>
    <w:rsid w:val="00BC4535"/>
    <w:rPr>
      <w:rFonts w:ascii="Times New Roman" w:hAnsi="Times New Roman"/>
      <w:sz w:val="16"/>
    </w:rPr>
  </w:style>
  <w:style w:type="paragraph" w:customStyle="1" w:styleId="Default">
    <w:name w:val="Default"/>
    <w:uiPriority w:val="99"/>
    <w:rsid w:val="00454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42E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42E2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5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17</Pages>
  <Words>4122</Words>
  <Characters>23500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WiZaRd</cp:lastModifiedBy>
  <cp:revision>75</cp:revision>
  <cp:lastPrinted>2018-04-03T06:44:00Z</cp:lastPrinted>
  <dcterms:created xsi:type="dcterms:W3CDTF">2018-04-03T06:41:00Z</dcterms:created>
  <dcterms:modified xsi:type="dcterms:W3CDTF">2018-05-23T07:08:00Z</dcterms:modified>
</cp:coreProperties>
</file>